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33F1D">
      <w:pPr>
        <w:spacing w:line="600" w:lineRule="exact"/>
        <w:rPr>
          <w:rFonts w:eastAsia="方正仿宋_GBK"/>
          <w:sz w:val="32"/>
          <w:szCs w:val="32"/>
        </w:rPr>
      </w:pPr>
    </w:p>
    <w:p w14:paraId="3A28FC30">
      <w:pPr>
        <w:spacing w:line="600" w:lineRule="exact"/>
        <w:rPr>
          <w:rFonts w:eastAsia="黑体"/>
          <w:sz w:val="32"/>
          <w:szCs w:val="32"/>
        </w:rPr>
      </w:pPr>
    </w:p>
    <w:p w14:paraId="3DCB3334">
      <w:pPr>
        <w:spacing w:line="600" w:lineRule="exact"/>
        <w:rPr>
          <w:rFonts w:eastAsia="方正仿宋_GBK"/>
          <w:sz w:val="32"/>
          <w:szCs w:val="32"/>
        </w:rPr>
      </w:pPr>
    </w:p>
    <w:p w14:paraId="1A96BFB9">
      <w:pPr>
        <w:spacing w:line="600" w:lineRule="exact"/>
        <w:rPr>
          <w:rFonts w:eastAsia="方正仿宋_GBK"/>
          <w:sz w:val="32"/>
          <w:szCs w:val="32"/>
        </w:rPr>
      </w:pPr>
      <w:r>
        <mc:AlternateContent>
          <mc:Choice Requires="wps">
            <w:drawing>
              <wp:anchor distT="0" distB="0" distL="114300" distR="114300" simplePos="0" relativeHeight="251661312" behindDoc="0" locked="0" layoutInCell="1" allowOverlap="1">
                <wp:simplePos x="0" y="0"/>
                <wp:positionH relativeFrom="margin">
                  <wp:posOffset>-3175</wp:posOffset>
                </wp:positionH>
                <wp:positionV relativeFrom="paragraph">
                  <wp:posOffset>10795</wp:posOffset>
                </wp:positionV>
                <wp:extent cx="5615940" cy="108966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5615940" cy="1089854"/>
                        </a:xfrm>
                        <a:prstGeom prst="rect">
                          <a:avLst/>
                        </a:prstGeom>
                        <a:noFill/>
                        <a:ln>
                          <a:noFill/>
                        </a:ln>
                        <a:effectLst/>
                      </wps:spPr>
                      <wps:txbx>
                        <w:txbxContent>
                          <w:p w14:paraId="6B3F3086">
                            <w:pPr>
                              <w:jc w:val="center"/>
                              <w:rPr>
                                <w:sz w:val="106"/>
                                <w:szCs w:val="106"/>
                              </w:rPr>
                            </w:pPr>
                            <w:r>
                              <w:rPr>
                                <w:rFonts w:hint="eastAsia" w:eastAsia="方正小标宋_GBK"/>
                                <w:bCs/>
                                <w:color w:val="FF0000"/>
                                <w:spacing w:val="1"/>
                                <w:w w:val="77"/>
                                <w:kern w:val="0"/>
                                <w:sz w:val="106"/>
                                <w:szCs w:val="106"/>
                                <w:fitText w:val="8190" w:id="1805515008"/>
                              </w:rPr>
                              <w:t>重庆化工</w:t>
                            </w:r>
                            <w:r>
                              <w:rPr>
                                <w:rFonts w:eastAsia="方正小标宋_GBK"/>
                                <w:bCs/>
                                <w:color w:val="FF0000"/>
                                <w:spacing w:val="1"/>
                                <w:w w:val="77"/>
                                <w:kern w:val="0"/>
                                <w:sz w:val="106"/>
                                <w:szCs w:val="106"/>
                                <w:fitText w:val="8190" w:id="1805515008"/>
                              </w:rPr>
                              <w:t>职业学院文</w:t>
                            </w:r>
                            <w:r>
                              <w:rPr>
                                <w:rFonts w:eastAsia="方正小标宋_GBK"/>
                                <w:bCs/>
                                <w:color w:val="FF0000"/>
                                <w:spacing w:val="28"/>
                                <w:w w:val="77"/>
                                <w:kern w:val="0"/>
                                <w:sz w:val="106"/>
                                <w:szCs w:val="106"/>
                                <w:fitText w:val="8190" w:id="1805515008"/>
                              </w:rPr>
                              <w:t>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0.25pt;margin-top:0.85pt;height:85.8pt;width:442.2pt;mso-position-horizontal-relative:margin;z-index:251661312;v-text-anchor:middle;mso-width-relative:page;mso-height-relative:page;" filled="f" stroked="f" coordsize="21600,21600" o:gfxdata="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QXJVCtUAAAAHAQAADwAAAAAAAAABACAAAAAiAAAAZHJzL2Rvd25y&#10;ZXYueG1sUEsBAhQAFAAAAAgAh07iQLLrdqg6AgAAcAQAAA4AAAAAAAAAAQAgAAAAJAEAAGRycy9l&#10;Mm9Eb2MueG1sUEsFBgAAAAAGAAYAWQEAANAFAAAAAA==&#10;">
                <v:fill on="f" focussize="0,0"/>
                <v:stroke on="f"/>
                <v:imagedata o:title=""/>
                <o:lock v:ext="edit" aspectratio="f"/>
                <v:textbox>
                  <w:txbxContent>
                    <w:p w14:paraId="6B3F3086">
                      <w:pPr>
                        <w:jc w:val="center"/>
                        <w:rPr>
                          <w:sz w:val="106"/>
                          <w:szCs w:val="106"/>
                        </w:rPr>
                      </w:pPr>
                      <w:r>
                        <w:rPr>
                          <w:rFonts w:hint="eastAsia" w:eastAsia="方正小标宋_GBK"/>
                          <w:bCs/>
                          <w:color w:val="FF0000"/>
                          <w:spacing w:val="1"/>
                          <w:w w:val="77"/>
                          <w:kern w:val="0"/>
                          <w:sz w:val="106"/>
                          <w:szCs w:val="106"/>
                          <w:fitText w:val="8190" w:id="1805515008"/>
                        </w:rPr>
                        <w:t>重庆化工</w:t>
                      </w:r>
                      <w:r>
                        <w:rPr>
                          <w:rFonts w:eastAsia="方正小标宋_GBK"/>
                          <w:bCs/>
                          <w:color w:val="FF0000"/>
                          <w:spacing w:val="1"/>
                          <w:w w:val="77"/>
                          <w:kern w:val="0"/>
                          <w:sz w:val="106"/>
                          <w:szCs w:val="106"/>
                          <w:fitText w:val="8190" w:id="1805515008"/>
                        </w:rPr>
                        <w:t>职业学院文</w:t>
                      </w:r>
                      <w:r>
                        <w:rPr>
                          <w:rFonts w:eastAsia="方正小标宋_GBK"/>
                          <w:bCs/>
                          <w:color w:val="FF0000"/>
                          <w:spacing w:val="28"/>
                          <w:w w:val="77"/>
                          <w:kern w:val="0"/>
                          <w:sz w:val="106"/>
                          <w:szCs w:val="106"/>
                          <w:fitText w:val="8190" w:id="1805515008"/>
                        </w:rPr>
                        <w:t>件</w:t>
                      </w:r>
                    </w:p>
                  </w:txbxContent>
                </v:textbox>
              </v:shape>
            </w:pict>
          </mc:Fallback>
        </mc:AlternateContent>
      </w:r>
    </w:p>
    <w:p w14:paraId="0EDF56CF">
      <w:pPr>
        <w:spacing w:line="600" w:lineRule="auto"/>
        <w:rPr>
          <w:rFonts w:eastAsia="方正仿宋_GBK"/>
          <w:sz w:val="32"/>
          <w:szCs w:val="32"/>
        </w:rPr>
      </w:pPr>
    </w:p>
    <w:p w14:paraId="0B039DD7">
      <w:pPr>
        <w:rPr>
          <w:rFonts w:eastAsia="方正仿宋_GBK"/>
          <w:sz w:val="32"/>
          <w:szCs w:val="32"/>
        </w:rPr>
      </w:pPr>
    </w:p>
    <w:tbl>
      <w:tblPr>
        <w:tblStyle w:val="18"/>
        <w:tblW w:w="8845" w:type="dxa"/>
        <w:tblInd w:w="0" w:type="dxa"/>
        <w:tblLayout w:type="fixed"/>
        <w:tblCellMar>
          <w:top w:w="0" w:type="dxa"/>
          <w:left w:w="108" w:type="dxa"/>
          <w:bottom w:w="0" w:type="dxa"/>
          <w:right w:w="108" w:type="dxa"/>
        </w:tblCellMar>
      </w:tblPr>
      <w:tblGrid>
        <w:gridCol w:w="8845"/>
      </w:tblGrid>
      <w:tr w14:paraId="0D9F68C4">
        <w:tblPrEx>
          <w:tblCellMar>
            <w:top w:w="0" w:type="dxa"/>
            <w:left w:w="108" w:type="dxa"/>
            <w:bottom w:w="0" w:type="dxa"/>
            <w:right w:w="108" w:type="dxa"/>
          </w:tblCellMar>
        </w:tblPrEx>
        <w:tc>
          <w:tcPr>
            <w:tcW w:w="8845" w:type="dxa"/>
            <w:shd w:val="clear" w:color="auto" w:fill="auto"/>
          </w:tcPr>
          <w:p w14:paraId="13EDC47B">
            <w:pPr>
              <w:spacing w:line="600" w:lineRule="exact"/>
              <w:jc w:val="center"/>
              <w:rPr>
                <w:rFonts w:eastAsia="方正仿宋_GBK"/>
                <w:sz w:val="32"/>
                <w:szCs w:val="32"/>
              </w:rPr>
            </w:pPr>
          </w:p>
          <w:p w14:paraId="0B986FCC">
            <w:pPr>
              <w:spacing w:line="600" w:lineRule="exact"/>
              <w:jc w:val="center"/>
              <w:rPr>
                <w:rFonts w:eastAsia="方正仿宋_GBK"/>
                <w:sz w:val="32"/>
                <w:szCs w:val="32"/>
              </w:rPr>
            </w:pPr>
            <w:r>
              <w:rPr>
                <w:rFonts w:eastAsia="方正仿宋_GBK"/>
                <w:sz w:val="32"/>
                <w:szCs w:val="32"/>
              </w:rPr>
              <w:t>渝化职院〔2025〕7号</w:t>
            </w:r>
          </w:p>
        </w:tc>
      </w:tr>
    </w:tbl>
    <w:p w14:paraId="311328E0">
      <w:pPr>
        <w:spacing w:line="600" w:lineRule="exact"/>
        <w:rPr>
          <w:rFonts w:eastAsia="方正小标宋_GBK"/>
          <w:color w:val="000000"/>
          <w:sz w:val="36"/>
          <w:szCs w:val="36"/>
        </w:rPr>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100330</wp:posOffset>
                </wp:positionV>
                <wp:extent cx="5615940" cy="0"/>
                <wp:effectExtent l="0" t="0" r="22860" b="1905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25400">
                          <a:solidFill>
                            <a:srgbClr val="FF0000"/>
                          </a:solidFill>
                          <a:round/>
                        </a:ln>
                      </wps:spPr>
                      <wps:bodyPr/>
                    </wps:wsp>
                  </a:graphicData>
                </a:graphic>
              </wp:anchor>
            </w:drawing>
          </mc:Choice>
          <mc:Fallback>
            <w:pict>
              <v:line id="_x0000_s1026" o:spid="_x0000_s1026" o:spt="20" style="position:absolute;left:0pt;flip:y;margin-left:0pt;margin-top:7.9pt;height:0pt;width:442.2pt;mso-position-horizontal-relative:margin;z-index:251660288;mso-width-relative:page;mso-height-relative:page;" filled="f" stroked="t" coordsize="21600,21600" o:gfxdata="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7giKE&#10;0gAAAAYBAAAPAAAAAAAAAAEAIAAAACIAAABkcnMvZG93bnJldi54bWxQSwECFAAUAAAACACHTuJA&#10;pGdDEu4BAAC3AwAADgAAAAAAAAABACAAAAAhAQAAZHJzL2Uyb0RvYy54bWxQSwUGAAAAAAYABgBZ&#10;AQAAgQUAAAAA&#10;">
                <v:fill on="f" focussize="0,0"/>
                <v:stroke weight="2pt" color="#FF0000" joinstyle="round"/>
                <v:imagedata o:title=""/>
                <o:lock v:ext="edit" aspectratio="f"/>
              </v:line>
            </w:pict>
          </mc:Fallback>
        </mc:AlternateContent>
      </w:r>
      <w:bookmarkStart w:id="0" w:name="Content"/>
      <w:bookmarkEnd w:id="0"/>
    </w:p>
    <w:p w14:paraId="62830FE1">
      <w:pPr>
        <w:widowControl/>
        <w:spacing w:line="660" w:lineRule="exact"/>
        <w:jc w:val="center"/>
        <w:rPr>
          <w:rFonts w:eastAsia="方正小标宋_GBK"/>
          <w:bCs/>
          <w:color w:val="0D0D0D"/>
          <w:sz w:val="44"/>
          <w:szCs w:val="44"/>
        </w:rPr>
      </w:pPr>
      <w:r>
        <w:rPr>
          <w:rFonts w:eastAsia="方正小标宋_GBK"/>
          <w:bCs/>
          <w:color w:val="0D0D0D"/>
          <w:sz w:val="44"/>
          <w:szCs w:val="44"/>
        </w:rPr>
        <w:t>重庆化工职业学院</w:t>
      </w:r>
    </w:p>
    <w:p w14:paraId="1E0EF2A5">
      <w:pPr>
        <w:widowControl/>
        <w:spacing w:line="660" w:lineRule="exact"/>
        <w:jc w:val="center"/>
        <w:rPr>
          <w:rFonts w:eastAsia="方正小标宋_GBK"/>
          <w:bCs/>
          <w:color w:val="0D0D0D"/>
          <w:sz w:val="44"/>
          <w:szCs w:val="44"/>
        </w:rPr>
      </w:pPr>
      <w:r>
        <w:rPr>
          <w:rFonts w:eastAsia="方正小标宋_GBK"/>
          <w:bCs/>
          <w:color w:val="0D0D0D"/>
          <w:sz w:val="44"/>
          <w:szCs w:val="44"/>
        </w:rPr>
        <w:t>关于印发经费审批办法的通知</w:t>
      </w:r>
    </w:p>
    <w:p w14:paraId="1E535E82">
      <w:pPr>
        <w:widowControl/>
        <w:spacing w:line="660" w:lineRule="exact"/>
        <w:jc w:val="center"/>
        <w:rPr>
          <w:rFonts w:ascii="方正仿宋_GBK" w:eastAsia="方正仿宋_GBK"/>
          <w:bCs/>
          <w:color w:val="0D0D0D"/>
          <w:sz w:val="44"/>
          <w:szCs w:val="44"/>
        </w:rPr>
      </w:pPr>
    </w:p>
    <w:p w14:paraId="0CC5DE4E">
      <w:pPr>
        <w:widowControl/>
        <w:spacing w:line="579" w:lineRule="exact"/>
        <w:rPr>
          <w:rFonts w:ascii="方正仿宋_GBK" w:eastAsia="方正仿宋_GBK"/>
          <w:sz w:val="32"/>
        </w:rPr>
      </w:pPr>
      <w:r>
        <w:rPr>
          <w:rFonts w:hint="eastAsia" w:ascii="方正仿宋_GBK" w:eastAsia="方正仿宋_GBK"/>
          <w:sz w:val="32"/>
        </w:rPr>
        <w:t>各部门、各单位：</w:t>
      </w:r>
    </w:p>
    <w:p w14:paraId="7EAF989F">
      <w:pPr>
        <w:widowControl/>
        <w:spacing w:line="579" w:lineRule="exact"/>
        <w:ind w:firstLine="640" w:firstLineChars="200"/>
        <w:rPr>
          <w:rFonts w:ascii="方正仿宋_GBK" w:eastAsia="方正仿宋_GBK"/>
          <w:sz w:val="32"/>
        </w:rPr>
      </w:pPr>
      <w:r>
        <w:rPr>
          <w:rFonts w:hint="eastAsia" w:ascii="方正仿宋_GBK" w:eastAsia="方正仿宋_GBK"/>
          <w:sz w:val="32"/>
        </w:rPr>
        <w:t>现将《重庆化工职业学院经费审批办法》印发给你们，请认真组织学习，并遵照执行。</w:t>
      </w:r>
    </w:p>
    <w:p w14:paraId="4B5A6A5F">
      <w:pPr>
        <w:widowControl/>
        <w:spacing w:line="579" w:lineRule="exact"/>
        <w:jc w:val="center"/>
        <w:rPr>
          <w:rFonts w:eastAsia="方正仿宋_GB2312"/>
          <w:sz w:val="32"/>
        </w:rPr>
      </w:pPr>
    </w:p>
    <w:p w14:paraId="220E7B37">
      <w:pPr>
        <w:widowControl/>
        <w:spacing w:line="579" w:lineRule="exact"/>
        <w:jc w:val="center"/>
        <w:rPr>
          <w:rFonts w:eastAsia="方正仿宋_GB2312"/>
          <w:sz w:val="32"/>
        </w:rPr>
      </w:pPr>
    </w:p>
    <w:p w14:paraId="164FD760">
      <w:pPr>
        <w:widowControl/>
        <w:wordWrap w:val="0"/>
        <w:spacing w:line="579" w:lineRule="exact"/>
        <w:jc w:val="right"/>
        <w:rPr>
          <w:rFonts w:eastAsia="方正仿宋_GB2312"/>
          <w:sz w:val="32"/>
        </w:rPr>
      </w:pPr>
      <w:r>
        <w:rPr>
          <w:rFonts w:eastAsia="方正仿宋_GB2312"/>
          <w:sz w:val="32"/>
        </w:rPr>
        <w:t xml:space="preserve">重庆化工职业学院    </w:t>
      </w:r>
    </w:p>
    <w:p w14:paraId="3C6197A1">
      <w:pPr>
        <w:widowControl/>
        <w:wordWrap w:val="0"/>
        <w:spacing w:line="579" w:lineRule="exact"/>
        <w:jc w:val="right"/>
        <w:rPr>
          <w:rFonts w:eastAsia="方正仿宋_GB2312"/>
          <w:sz w:val="32"/>
        </w:rPr>
      </w:pPr>
      <w:r>
        <w:rPr>
          <w:rFonts w:eastAsia="方正仿宋_GB2312"/>
          <w:sz w:val="32"/>
        </w:rPr>
        <w:t xml:space="preserve">2025年1月9日    </w:t>
      </w:r>
    </w:p>
    <w:p w14:paraId="2CE02EA6">
      <w:pPr>
        <w:widowControl/>
        <w:jc w:val="left"/>
        <w:rPr>
          <w:rFonts w:eastAsia="方正小标宋_GBK"/>
          <w:bCs/>
          <w:color w:val="0D0D0D"/>
          <w:sz w:val="44"/>
          <w:szCs w:val="44"/>
        </w:rPr>
      </w:pPr>
      <w:r>
        <w:rPr>
          <w:rFonts w:eastAsia="方正小标宋_GBK"/>
          <w:bCs/>
          <w:color w:val="0D0D0D"/>
          <w:sz w:val="44"/>
          <w:szCs w:val="44"/>
        </w:rPr>
        <w:br w:type="page"/>
      </w:r>
    </w:p>
    <w:p w14:paraId="73C0C70C">
      <w:pPr>
        <w:widowControl/>
        <w:spacing w:line="660" w:lineRule="exact"/>
        <w:jc w:val="center"/>
        <w:rPr>
          <w:rFonts w:eastAsia="方正小标宋_GBK"/>
          <w:bCs/>
          <w:color w:val="0D0D0D"/>
          <w:sz w:val="44"/>
          <w:szCs w:val="44"/>
        </w:rPr>
      </w:pPr>
      <w:r>
        <w:rPr>
          <w:rFonts w:eastAsia="方正小标宋_GBK"/>
          <w:bCs/>
          <w:color w:val="0D0D0D"/>
          <w:sz w:val="44"/>
          <w:szCs w:val="44"/>
        </w:rPr>
        <w:t>重庆化工职业学院经费审批办法</w:t>
      </w:r>
    </w:p>
    <w:p w14:paraId="088C5881">
      <w:pPr>
        <w:widowControl/>
        <w:spacing w:line="660" w:lineRule="exact"/>
        <w:jc w:val="center"/>
        <w:rPr>
          <w:rFonts w:eastAsia="方正小标宋_GBK"/>
          <w:bCs/>
          <w:color w:val="0D0D0D"/>
          <w:sz w:val="44"/>
          <w:szCs w:val="44"/>
        </w:rPr>
      </w:pPr>
    </w:p>
    <w:p w14:paraId="1F4F75FB">
      <w:pPr>
        <w:spacing w:line="579" w:lineRule="exact"/>
        <w:ind w:firstLine="640" w:firstLineChars="200"/>
        <w:jc w:val="left"/>
        <w:rPr>
          <w:rFonts w:eastAsia="方正仿宋_GB2312"/>
          <w:kern w:val="0"/>
          <w:sz w:val="32"/>
          <w:szCs w:val="32"/>
        </w:rPr>
      </w:pPr>
      <w:r>
        <w:rPr>
          <w:rFonts w:eastAsia="方正仿宋_GB2312"/>
          <w:kern w:val="0"/>
          <w:sz w:val="32"/>
          <w:szCs w:val="32"/>
        </w:rPr>
        <w:t>为落实“三重一大”决策机制，明确经费审批程序，</w:t>
      </w:r>
      <w:r>
        <w:rPr>
          <w:rFonts w:eastAsia="方正仿宋_GB2312"/>
          <w:sz w:val="32"/>
        </w:rPr>
        <w:t>规范财务报销行为，提高资金使用效益，</w:t>
      </w:r>
      <w:r>
        <w:rPr>
          <w:rFonts w:eastAsia="方正仿宋_GB2312"/>
          <w:kern w:val="0"/>
          <w:sz w:val="32"/>
          <w:szCs w:val="32"/>
        </w:rPr>
        <w:t>强化审批人的经济责任，严肃财经纪律，</w:t>
      </w:r>
      <w:r>
        <w:rPr>
          <w:rFonts w:eastAsia="方正仿宋_GB2312"/>
          <w:sz w:val="32"/>
        </w:rPr>
        <w:t>根据《中华人民共和国会计法》《政府会计准则》《政府会计制度》《高等学校财务制度》《会计基础工作规范》等</w:t>
      </w:r>
      <w:r>
        <w:rPr>
          <w:rFonts w:eastAsia="方正仿宋_GB2312"/>
          <w:kern w:val="0"/>
          <w:sz w:val="32"/>
          <w:szCs w:val="32"/>
        </w:rPr>
        <w:t>国家有关法律法规</w:t>
      </w:r>
      <w:r>
        <w:rPr>
          <w:rFonts w:eastAsia="方正仿宋_GB2312"/>
          <w:sz w:val="32"/>
        </w:rPr>
        <w:t>，结合学校实际</w:t>
      </w:r>
      <w:r>
        <w:rPr>
          <w:rFonts w:eastAsia="方正仿宋_GB2312"/>
          <w:kern w:val="0"/>
          <w:sz w:val="32"/>
          <w:szCs w:val="32"/>
        </w:rPr>
        <w:t>，制定本办法。</w:t>
      </w:r>
    </w:p>
    <w:p w14:paraId="3908DCC6">
      <w:pPr>
        <w:spacing w:line="579" w:lineRule="exact"/>
        <w:jc w:val="center"/>
        <w:rPr>
          <w:rFonts w:eastAsia="方正黑体_GBK"/>
          <w:bCs/>
          <w:kern w:val="0"/>
          <w:sz w:val="32"/>
          <w:szCs w:val="32"/>
        </w:rPr>
      </w:pPr>
      <w:r>
        <w:rPr>
          <w:rFonts w:eastAsia="方正黑体_GBK"/>
          <w:bCs/>
          <w:kern w:val="0"/>
          <w:sz w:val="32"/>
          <w:szCs w:val="32"/>
        </w:rPr>
        <w:t>第一章  基本原则</w:t>
      </w:r>
    </w:p>
    <w:p w14:paraId="6C90CDFC">
      <w:pPr>
        <w:spacing w:line="579" w:lineRule="exact"/>
        <w:ind w:firstLine="640" w:firstLineChars="200"/>
        <w:rPr>
          <w:rFonts w:eastAsia="方正仿宋_GB2312"/>
          <w:kern w:val="0"/>
          <w:sz w:val="32"/>
          <w:szCs w:val="32"/>
        </w:rPr>
      </w:pPr>
      <w:r>
        <w:rPr>
          <w:rFonts w:eastAsia="方正黑体_GBK"/>
          <w:kern w:val="0"/>
          <w:sz w:val="32"/>
          <w:szCs w:val="32"/>
        </w:rPr>
        <w:t>第一条</w:t>
      </w:r>
      <w:r>
        <w:rPr>
          <w:rFonts w:eastAsia="方正仿宋_GB2312"/>
          <w:kern w:val="0"/>
          <w:sz w:val="32"/>
          <w:szCs w:val="32"/>
        </w:rPr>
        <w:t xml:space="preserve">  集体领导和个人分工负责相结合的原则</w:t>
      </w:r>
    </w:p>
    <w:p w14:paraId="2471D022">
      <w:pPr>
        <w:spacing w:line="579" w:lineRule="exact"/>
        <w:ind w:firstLine="640" w:firstLineChars="200"/>
        <w:rPr>
          <w:rFonts w:eastAsia="方正仿宋_GB2312"/>
          <w:kern w:val="0"/>
          <w:sz w:val="32"/>
          <w:szCs w:val="32"/>
        </w:rPr>
      </w:pPr>
      <w:r>
        <w:rPr>
          <w:rFonts w:eastAsia="方正仿宋_GB2312"/>
          <w:kern w:val="0"/>
          <w:sz w:val="32"/>
          <w:szCs w:val="32"/>
        </w:rPr>
        <w:t>经费审批实行经费负责人“一支笔”审批和集体会签相结合的原则。重大经费安排都要由集体讨论决定，个人按照分工切实履行经济责任。</w:t>
      </w:r>
    </w:p>
    <w:p w14:paraId="61891AA9">
      <w:pPr>
        <w:spacing w:line="579" w:lineRule="exact"/>
        <w:ind w:firstLine="640" w:firstLineChars="200"/>
        <w:rPr>
          <w:rFonts w:eastAsia="方正仿宋_GB2312"/>
          <w:kern w:val="0"/>
          <w:sz w:val="32"/>
          <w:szCs w:val="32"/>
        </w:rPr>
      </w:pPr>
      <w:r>
        <w:rPr>
          <w:rFonts w:eastAsia="方正黑体_GBK"/>
          <w:kern w:val="0"/>
          <w:sz w:val="32"/>
          <w:szCs w:val="32"/>
        </w:rPr>
        <w:t xml:space="preserve">第二条 </w:t>
      </w:r>
      <w:r>
        <w:rPr>
          <w:rFonts w:eastAsia="方正仿宋_GB2312"/>
          <w:kern w:val="0"/>
          <w:sz w:val="32"/>
          <w:szCs w:val="32"/>
        </w:rPr>
        <w:t xml:space="preserve"> “谁主管、谁审批、谁负责”原则</w:t>
      </w:r>
    </w:p>
    <w:p w14:paraId="5DCBCE9F">
      <w:pPr>
        <w:spacing w:line="579" w:lineRule="exact"/>
        <w:ind w:firstLine="640" w:firstLineChars="200"/>
        <w:rPr>
          <w:rFonts w:eastAsia="方正仿宋_GB2312"/>
          <w:kern w:val="0"/>
          <w:sz w:val="32"/>
          <w:szCs w:val="32"/>
        </w:rPr>
      </w:pPr>
      <w:r>
        <w:rPr>
          <w:rFonts w:eastAsia="方正仿宋_GB2312"/>
          <w:kern w:val="0"/>
          <w:sz w:val="32"/>
          <w:szCs w:val="32"/>
        </w:rPr>
        <w:t>学校经费审批实行归口管理，审批人根据自身职责权限，对经费使用的真实性、合法性、合理性、合规性、相关性进行审查并对其审批意见负责。</w:t>
      </w:r>
    </w:p>
    <w:p w14:paraId="327F264D">
      <w:pPr>
        <w:spacing w:line="579" w:lineRule="exact"/>
        <w:ind w:firstLine="640" w:firstLineChars="200"/>
        <w:rPr>
          <w:rFonts w:eastAsia="方正仿宋_GB2312"/>
          <w:kern w:val="0"/>
          <w:sz w:val="32"/>
          <w:szCs w:val="32"/>
        </w:rPr>
      </w:pPr>
      <w:r>
        <w:rPr>
          <w:rFonts w:eastAsia="方正黑体_GBK"/>
          <w:kern w:val="0"/>
          <w:sz w:val="32"/>
          <w:szCs w:val="32"/>
        </w:rPr>
        <w:t xml:space="preserve">第三条 </w:t>
      </w:r>
      <w:r>
        <w:rPr>
          <w:rFonts w:eastAsia="方正仿宋_GB2312"/>
          <w:kern w:val="0"/>
          <w:sz w:val="32"/>
          <w:szCs w:val="32"/>
        </w:rPr>
        <w:t xml:space="preserve"> 预算管理原则</w:t>
      </w:r>
    </w:p>
    <w:p w14:paraId="298F8EFB">
      <w:pPr>
        <w:spacing w:line="579" w:lineRule="exact"/>
        <w:ind w:firstLine="640" w:firstLineChars="200"/>
        <w:rPr>
          <w:rFonts w:eastAsia="方正仿宋_GB2312"/>
          <w:kern w:val="0"/>
          <w:sz w:val="32"/>
          <w:szCs w:val="32"/>
        </w:rPr>
      </w:pPr>
      <w:r>
        <w:rPr>
          <w:rFonts w:eastAsia="方正仿宋_GB2312"/>
          <w:kern w:val="0"/>
          <w:sz w:val="32"/>
          <w:szCs w:val="32"/>
        </w:rPr>
        <w:t>所有经费使用应当有预算安排或有明确的资金来源。没有落实经费预算或资金来源的项目，</w:t>
      </w:r>
      <w:r>
        <w:rPr>
          <w:rFonts w:eastAsia="方正仿宋_GB2312"/>
          <w:sz w:val="32"/>
        </w:rPr>
        <w:t>未纳入或超出学校年度预算的，须按照学校预算管理规定进行调剂或增加，并按规定程序审批通过后，方可列支。</w:t>
      </w:r>
    </w:p>
    <w:p w14:paraId="60EAFE78">
      <w:pPr>
        <w:spacing w:line="579" w:lineRule="exact"/>
        <w:ind w:firstLine="640" w:firstLineChars="200"/>
        <w:jc w:val="left"/>
        <w:rPr>
          <w:rFonts w:eastAsia="方正仿宋_GB2312"/>
          <w:kern w:val="0"/>
          <w:sz w:val="32"/>
          <w:szCs w:val="32"/>
        </w:rPr>
      </w:pPr>
      <w:r>
        <w:rPr>
          <w:rFonts w:eastAsia="方正黑体_GBK"/>
          <w:kern w:val="0"/>
          <w:sz w:val="32"/>
          <w:szCs w:val="32"/>
        </w:rPr>
        <w:t>第四条</w:t>
      </w:r>
      <w:r>
        <w:rPr>
          <w:rFonts w:eastAsia="方正仿宋_GB2312"/>
          <w:kern w:val="0"/>
          <w:sz w:val="32"/>
          <w:szCs w:val="32"/>
        </w:rPr>
        <w:t xml:space="preserve">  审批回避原则</w:t>
      </w:r>
    </w:p>
    <w:p w14:paraId="19630B09">
      <w:pPr>
        <w:spacing w:line="579" w:lineRule="exact"/>
        <w:ind w:firstLine="640" w:firstLineChars="200"/>
        <w:jc w:val="left"/>
        <w:rPr>
          <w:rFonts w:eastAsia="方正仿宋_GB2312"/>
          <w:kern w:val="0"/>
          <w:sz w:val="32"/>
          <w:szCs w:val="32"/>
        </w:rPr>
      </w:pPr>
      <w:r>
        <w:rPr>
          <w:rFonts w:eastAsia="方正仿宋_GB2312"/>
          <w:kern w:val="0"/>
          <w:sz w:val="32"/>
          <w:szCs w:val="32"/>
        </w:rPr>
        <w:t>经费负责人不能审批本人经办的经济事项。</w:t>
      </w:r>
    </w:p>
    <w:p w14:paraId="28BD2727">
      <w:pPr>
        <w:spacing w:line="579" w:lineRule="exact"/>
        <w:ind w:firstLine="640" w:firstLineChars="200"/>
        <w:jc w:val="left"/>
        <w:rPr>
          <w:rFonts w:eastAsia="方正仿宋_GB2312"/>
          <w:sz w:val="32"/>
        </w:rPr>
      </w:pPr>
      <w:r>
        <w:rPr>
          <w:rFonts w:eastAsia="方正仿宋_GB2312"/>
          <w:kern w:val="0"/>
          <w:sz w:val="32"/>
          <w:szCs w:val="32"/>
        </w:rPr>
        <w:t>如遇以上情况，经办人是部门负责人的，由本部门同职级领导交叉审批或分管校领导审批</w:t>
      </w:r>
      <w:r>
        <w:rPr>
          <w:rFonts w:eastAsia="方正仿宋_GB2312"/>
          <w:sz w:val="32"/>
        </w:rPr>
        <w:t>；学校副职领导经办的，由分管财务校领导审批；分管财务校领导经办的，由校长审批；正职校领导经办的，由党政领导交叉审批。</w:t>
      </w:r>
    </w:p>
    <w:p w14:paraId="5FA44DEE">
      <w:pPr>
        <w:spacing w:line="579" w:lineRule="exact"/>
        <w:ind w:firstLine="640" w:firstLineChars="200"/>
        <w:jc w:val="left"/>
        <w:rPr>
          <w:rFonts w:eastAsia="方正仿宋_GB2312"/>
          <w:sz w:val="32"/>
        </w:rPr>
      </w:pPr>
      <w:r>
        <w:rPr>
          <w:rFonts w:eastAsia="方正黑体_GBK"/>
          <w:kern w:val="0"/>
          <w:sz w:val="32"/>
          <w:szCs w:val="32"/>
        </w:rPr>
        <w:t>第五条</w:t>
      </w:r>
      <w:r>
        <w:rPr>
          <w:rFonts w:eastAsia="方正仿宋_GB2312"/>
          <w:sz w:val="32"/>
        </w:rPr>
        <w:t xml:space="preserve"> 支出合规原则</w:t>
      </w:r>
    </w:p>
    <w:p w14:paraId="5DC5C23D">
      <w:pPr>
        <w:spacing w:line="579" w:lineRule="exact"/>
        <w:ind w:firstLine="640" w:firstLineChars="200"/>
        <w:rPr>
          <w:rFonts w:eastAsia="方正仿宋_GB2312"/>
          <w:sz w:val="32"/>
        </w:rPr>
      </w:pPr>
      <w:r>
        <w:rPr>
          <w:rFonts w:eastAsia="方正仿宋_GB2312"/>
          <w:sz w:val="32"/>
        </w:rPr>
        <w:t>各项经费支出应严格按照学校相关管理办法规定的范围和标准列支。学校尚未制定管理办法的，应参照上级法律法规执行。相关上级法律法规未作明确规定的，由学校相关职能部门、纪检审计部门确认经费支出的依据。</w:t>
      </w:r>
    </w:p>
    <w:p w14:paraId="11203D54">
      <w:pPr>
        <w:spacing w:line="579" w:lineRule="exact"/>
        <w:jc w:val="center"/>
        <w:rPr>
          <w:rFonts w:eastAsia="方正黑体_GBK"/>
          <w:bCs/>
          <w:sz w:val="32"/>
        </w:rPr>
      </w:pPr>
      <w:r>
        <w:rPr>
          <w:rFonts w:eastAsia="方正黑体_GBK"/>
          <w:bCs/>
          <w:sz w:val="32"/>
        </w:rPr>
        <w:t>第二章  经费审批流程</w:t>
      </w:r>
    </w:p>
    <w:p w14:paraId="71EA8F9A">
      <w:pPr>
        <w:spacing w:line="579" w:lineRule="exact"/>
        <w:ind w:firstLine="640" w:firstLineChars="200"/>
        <w:rPr>
          <w:rFonts w:eastAsia="方正仿宋_GB2312"/>
          <w:sz w:val="32"/>
        </w:rPr>
      </w:pPr>
      <w:r>
        <w:rPr>
          <w:rFonts w:eastAsia="方正黑体_GBK"/>
          <w:kern w:val="0"/>
          <w:sz w:val="32"/>
          <w:szCs w:val="32"/>
        </w:rPr>
        <w:t>第六条</w:t>
      </w:r>
      <w:r>
        <w:rPr>
          <w:rFonts w:eastAsia="方正仿宋_GB2312"/>
          <w:sz w:val="32"/>
        </w:rPr>
        <w:t xml:space="preserve"> 备齐原始凭证</w:t>
      </w:r>
    </w:p>
    <w:p w14:paraId="2DAF206A">
      <w:pPr>
        <w:spacing w:line="579" w:lineRule="exact"/>
        <w:ind w:firstLine="640" w:firstLineChars="200"/>
        <w:rPr>
          <w:rFonts w:eastAsia="方正仿宋_GB2312"/>
          <w:sz w:val="32"/>
        </w:rPr>
      </w:pPr>
      <w:r>
        <w:rPr>
          <w:rFonts w:eastAsia="方正仿宋_GB2312"/>
          <w:sz w:val="32"/>
        </w:rPr>
        <w:t>报销人办理经费审批前，应备齐外单位取得的原始凭证，包括证明经济业务发生的票据及其他补充材料。报销人对经济事项的真实性、合法性、有效性负直接责任。</w:t>
      </w:r>
    </w:p>
    <w:p w14:paraId="2F9F8E01">
      <w:pPr>
        <w:spacing w:line="579" w:lineRule="exact"/>
        <w:ind w:firstLine="640" w:firstLineChars="200"/>
        <w:rPr>
          <w:rFonts w:eastAsia="方正仿宋_GB2312"/>
          <w:sz w:val="32"/>
        </w:rPr>
      </w:pPr>
      <w:r>
        <w:rPr>
          <w:rFonts w:eastAsia="方正黑体_GBK"/>
          <w:kern w:val="0"/>
          <w:sz w:val="32"/>
          <w:szCs w:val="32"/>
        </w:rPr>
        <w:t xml:space="preserve">第七条 </w:t>
      </w:r>
      <w:r>
        <w:rPr>
          <w:rFonts w:eastAsia="方正仿宋_GB2312"/>
          <w:sz w:val="32"/>
        </w:rPr>
        <w:t xml:space="preserve"> 填写报销单据</w:t>
      </w:r>
    </w:p>
    <w:p w14:paraId="1ADD9087">
      <w:pPr>
        <w:spacing w:line="579" w:lineRule="exact"/>
        <w:ind w:firstLine="640" w:firstLineChars="200"/>
        <w:rPr>
          <w:rFonts w:eastAsia="方正仿宋_GB2312"/>
          <w:sz w:val="32"/>
        </w:rPr>
      </w:pPr>
      <w:r>
        <w:rPr>
          <w:rFonts w:eastAsia="方正仿宋_GB2312"/>
          <w:sz w:val="32"/>
        </w:rPr>
        <w:t>报销人备齐原始材料后，依据经济业务类别，按要求填写财务报销系统相关报销单据，报销人填写的财务报销单据应要素完备，事由清晰。</w:t>
      </w:r>
    </w:p>
    <w:p w14:paraId="45692707">
      <w:pPr>
        <w:spacing w:line="579" w:lineRule="exact"/>
        <w:ind w:firstLine="640" w:firstLineChars="200"/>
        <w:rPr>
          <w:rFonts w:eastAsia="方正仿宋_GB2312"/>
          <w:sz w:val="32"/>
        </w:rPr>
      </w:pPr>
      <w:r>
        <w:rPr>
          <w:rFonts w:eastAsia="方正黑体_GBK"/>
          <w:kern w:val="0"/>
          <w:sz w:val="32"/>
          <w:szCs w:val="32"/>
        </w:rPr>
        <w:t>第八条</w:t>
      </w:r>
      <w:r>
        <w:rPr>
          <w:rFonts w:eastAsia="方正仿宋_GB2312"/>
          <w:sz w:val="32"/>
        </w:rPr>
        <w:t xml:space="preserve">  经费负责人审签</w:t>
      </w:r>
    </w:p>
    <w:p w14:paraId="5D5D2D60">
      <w:pPr>
        <w:spacing w:line="579" w:lineRule="exact"/>
        <w:ind w:firstLine="640" w:firstLineChars="200"/>
        <w:rPr>
          <w:rFonts w:eastAsia="方正仿宋_GB2312"/>
          <w:sz w:val="32"/>
        </w:rPr>
      </w:pPr>
      <w:r>
        <w:rPr>
          <w:rFonts w:eastAsia="方正仿宋_GB2312"/>
          <w:sz w:val="32"/>
        </w:rPr>
        <w:t>经费负责人对经济事项的真实性、合理性、有效性负主要责任，审核无误后，签署审核意见。涉及跨部门报销的，应先经过报销人所在部门负责人审批后，提交给经费负责人审批。部门负责人对经济事项的真实性、合理性、有效性负主要责任，经费负责人负管理责任。</w:t>
      </w:r>
    </w:p>
    <w:p w14:paraId="5BCCF58A">
      <w:pPr>
        <w:spacing w:line="579" w:lineRule="exact"/>
        <w:ind w:firstLine="640" w:firstLineChars="200"/>
        <w:rPr>
          <w:rFonts w:eastAsia="方正仿宋_GB2312"/>
          <w:sz w:val="32"/>
        </w:rPr>
      </w:pPr>
      <w:r>
        <w:rPr>
          <w:rFonts w:eastAsia="方正黑体_GBK"/>
          <w:kern w:val="0"/>
          <w:sz w:val="32"/>
          <w:szCs w:val="32"/>
        </w:rPr>
        <w:t>第九条</w:t>
      </w:r>
      <w:r>
        <w:rPr>
          <w:rFonts w:eastAsia="方正仿宋_GB2312"/>
          <w:sz w:val="32"/>
        </w:rPr>
        <w:t xml:space="preserve">  提交财务初审</w:t>
      </w:r>
    </w:p>
    <w:p w14:paraId="7C9236FA">
      <w:pPr>
        <w:spacing w:line="579" w:lineRule="exact"/>
        <w:ind w:firstLine="640" w:firstLineChars="200"/>
        <w:rPr>
          <w:rFonts w:eastAsia="方正仿宋_GB2312"/>
          <w:sz w:val="32"/>
        </w:rPr>
      </w:pPr>
      <w:r>
        <w:rPr>
          <w:rFonts w:eastAsia="方正仿宋_GB2312"/>
          <w:sz w:val="32"/>
        </w:rPr>
        <w:t>财务人员按照会计制度规定对票据的真实性和报销单据及其附件的合法性、完整性、有效性进行审核。</w:t>
      </w:r>
    </w:p>
    <w:p w14:paraId="1CE32712">
      <w:pPr>
        <w:spacing w:line="579" w:lineRule="exact"/>
        <w:ind w:firstLine="640" w:firstLineChars="200"/>
        <w:rPr>
          <w:rFonts w:eastAsia="方正仿宋_GB2312"/>
          <w:sz w:val="32"/>
        </w:rPr>
      </w:pPr>
      <w:r>
        <w:rPr>
          <w:rFonts w:eastAsia="方正仿宋_GB2312"/>
          <w:sz w:val="32"/>
        </w:rPr>
        <w:t>会计人员对不真实、不合规的报销材料有权不予受理，并需向财务处负责人报告；对记载不准确、不完整的报销材料应予以退回，并要求报销人按照会计制度的规定更正、补充；对严重违反制度规定，且拒不纠正的，应向纪检审计部门报告。</w:t>
      </w:r>
    </w:p>
    <w:p w14:paraId="365E3946">
      <w:pPr>
        <w:spacing w:line="579" w:lineRule="exact"/>
        <w:ind w:firstLine="640" w:firstLineChars="200"/>
        <w:rPr>
          <w:rFonts w:eastAsia="方正仿宋_GB2312"/>
          <w:sz w:val="32"/>
        </w:rPr>
      </w:pPr>
      <w:r>
        <w:rPr>
          <w:rFonts w:eastAsia="方正仿宋_GB2312"/>
          <w:sz w:val="32"/>
        </w:rPr>
        <w:t>任何人员不得以任何方式授意、指使、强令会计人员放松审核标准，或伪造、变造会计凭证、会计账簿和其他会计资料。</w:t>
      </w:r>
    </w:p>
    <w:p w14:paraId="237DCD4E">
      <w:pPr>
        <w:spacing w:line="579" w:lineRule="exact"/>
        <w:ind w:firstLine="640" w:firstLineChars="200"/>
        <w:rPr>
          <w:rFonts w:eastAsia="方正仿宋_GB2312"/>
          <w:sz w:val="32"/>
        </w:rPr>
      </w:pPr>
      <w:r>
        <w:rPr>
          <w:rFonts w:eastAsia="方正黑体_GBK"/>
          <w:kern w:val="0"/>
          <w:sz w:val="32"/>
          <w:szCs w:val="32"/>
        </w:rPr>
        <w:t>第十条</w:t>
      </w:r>
      <w:r>
        <w:rPr>
          <w:rFonts w:eastAsia="方正仿宋_GB2312"/>
          <w:sz w:val="32"/>
        </w:rPr>
        <w:t xml:space="preserve">  逐级审核签批</w:t>
      </w:r>
    </w:p>
    <w:p w14:paraId="2B8B9995">
      <w:pPr>
        <w:spacing w:line="579" w:lineRule="exact"/>
        <w:ind w:firstLine="640" w:firstLineChars="200"/>
        <w:rPr>
          <w:rFonts w:eastAsia="方正仿宋_GB2312"/>
          <w:sz w:val="32"/>
        </w:rPr>
      </w:pPr>
      <w:r>
        <w:rPr>
          <w:rFonts w:eastAsia="方正仿宋_GB2312"/>
          <w:sz w:val="32"/>
        </w:rPr>
        <w:t>根据具体经济业务的列支经费项目和金额，按照经费支出审批权限，依次由相关单位、校领导对报销单据进行审核签批。</w:t>
      </w:r>
    </w:p>
    <w:p w14:paraId="112BFB0E">
      <w:pPr>
        <w:spacing w:line="579" w:lineRule="exact"/>
        <w:ind w:firstLine="640" w:firstLineChars="200"/>
        <w:rPr>
          <w:rFonts w:eastAsia="方正仿宋_GB2312"/>
          <w:sz w:val="32"/>
        </w:rPr>
      </w:pPr>
      <w:r>
        <w:rPr>
          <w:rFonts w:eastAsia="方正黑体_GBK"/>
          <w:kern w:val="0"/>
          <w:sz w:val="32"/>
          <w:szCs w:val="32"/>
        </w:rPr>
        <w:t>第十一条</w:t>
      </w:r>
      <w:r>
        <w:rPr>
          <w:rFonts w:eastAsia="方正仿宋_GB2312"/>
          <w:sz w:val="32"/>
        </w:rPr>
        <w:t xml:space="preserve">  提交财务报销</w:t>
      </w:r>
    </w:p>
    <w:p w14:paraId="730BB400">
      <w:pPr>
        <w:spacing w:line="579" w:lineRule="exact"/>
        <w:ind w:firstLine="640" w:firstLineChars="200"/>
        <w:rPr>
          <w:rFonts w:eastAsia="方正仿宋_GB2312"/>
          <w:sz w:val="32"/>
        </w:rPr>
      </w:pPr>
      <w:r>
        <w:rPr>
          <w:rFonts w:eastAsia="方正仿宋_GB2312"/>
          <w:sz w:val="32"/>
        </w:rPr>
        <w:t>履行完逐级审签程序，会计人员取得经审批的完整凭证后，包括外单位取得的原始凭证和学校自制的原始凭证，依法依规进行审核、复核，填制记账凭证后，由出纳人员完成支付。</w:t>
      </w:r>
    </w:p>
    <w:p w14:paraId="47DAC6CA">
      <w:pPr>
        <w:spacing w:line="579" w:lineRule="exact"/>
        <w:jc w:val="center"/>
        <w:rPr>
          <w:rFonts w:eastAsia="方正黑体_GBK"/>
          <w:bCs/>
          <w:kern w:val="0"/>
          <w:sz w:val="32"/>
          <w:szCs w:val="32"/>
        </w:rPr>
      </w:pPr>
      <w:r>
        <w:rPr>
          <w:rFonts w:eastAsia="方正黑体_GBK"/>
          <w:bCs/>
          <w:kern w:val="0"/>
          <w:sz w:val="32"/>
          <w:szCs w:val="32"/>
        </w:rPr>
        <w:t>第三章  经费审批权限</w:t>
      </w:r>
    </w:p>
    <w:p w14:paraId="316C6FEE">
      <w:pPr>
        <w:spacing w:line="579" w:lineRule="exact"/>
        <w:ind w:firstLine="640" w:firstLineChars="200"/>
        <w:jc w:val="left"/>
        <w:rPr>
          <w:rFonts w:eastAsia="方正仿宋_GB2312"/>
          <w:kern w:val="0"/>
          <w:sz w:val="32"/>
          <w:szCs w:val="32"/>
        </w:rPr>
      </w:pPr>
      <w:r>
        <w:rPr>
          <w:rFonts w:eastAsia="方正黑体_GBK"/>
          <w:kern w:val="0"/>
          <w:sz w:val="32"/>
          <w:szCs w:val="32"/>
        </w:rPr>
        <w:t>第十二条</w:t>
      </w:r>
      <w:r>
        <w:rPr>
          <w:rFonts w:eastAsia="方正仿宋_GB2312"/>
          <w:kern w:val="0"/>
          <w:sz w:val="32"/>
          <w:szCs w:val="32"/>
        </w:rPr>
        <w:t xml:space="preserve">  经费负责人的责任</w:t>
      </w:r>
    </w:p>
    <w:p w14:paraId="01B74F02">
      <w:pPr>
        <w:spacing w:line="579" w:lineRule="exact"/>
        <w:ind w:firstLine="640" w:firstLineChars="200"/>
        <w:rPr>
          <w:rFonts w:eastAsia="方正仿宋_GB2312"/>
          <w:kern w:val="0"/>
          <w:sz w:val="32"/>
          <w:szCs w:val="32"/>
        </w:rPr>
      </w:pPr>
      <w:r>
        <w:rPr>
          <w:rFonts w:eastAsia="方正仿宋_GB2312"/>
          <w:kern w:val="0"/>
          <w:sz w:val="32"/>
          <w:szCs w:val="32"/>
        </w:rPr>
        <w:t>（一）经费使用是否真实、合法、合理、合规、相关，是否符合上级和学校有关规定；</w:t>
      </w:r>
    </w:p>
    <w:p w14:paraId="3332F50B">
      <w:pPr>
        <w:spacing w:line="579" w:lineRule="exact"/>
        <w:ind w:firstLine="640" w:firstLineChars="200"/>
        <w:rPr>
          <w:rFonts w:eastAsia="方正仿宋_GB2312"/>
          <w:kern w:val="0"/>
          <w:sz w:val="32"/>
          <w:szCs w:val="32"/>
        </w:rPr>
      </w:pPr>
      <w:r>
        <w:rPr>
          <w:rFonts w:eastAsia="方正仿宋_GB2312"/>
          <w:kern w:val="0"/>
          <w:sz w:val="32"/>
          <w:szCs w:val="32"/>
        </w:rPr>
        <w:t>（二）项目是否符合规定的开支范围和是否在预算额度以内；</w:t>
      </w:r>
    </w:p>
    <w:p w14:paraId="0B7A85BE">
      <w:pPr>
        <w:spacing w:line="579" w:lineRule="exact"/>
        <w:ind w:firstLine="640" w:firstLineChars="200"/>
        <w:rPr>
          <w:rFonts w:eastAsia="方正仿宋_GB2312"/>
          <w:kern w:val="0"/>
          <w:sz w:val="32"/>
          <w:szCs w:val="32"/>
        </w:rPr>
      </w:pPr>
      <w:r>
        <w:rPr>
          <w:rFonts w:eastAsia="方正仿宋_GB2312"/>
          <w:kern w:val="0"/>
          <w:sz w:val="32"/>
          <w:szCs w:val="32"/>
        </w:rPr>
        <w:t>（三）有无经办人、验收人等相关责任人签字以及签字的真实性；</w:t>
      </w:r>
    </w:p>
    <w:p w14:paraId="7C959256">
      <w:pPr>
        <w:spacing w:line="579" w:lineRule="exact"/>
        <w:ind w:firstLine="640" w:firstLineChars="200"/>
        <w:rPr>
          <w:rFonts w:eastAsia="方正仿宋_GB2312"/>
          <w:kern w:val="0"/>
          <w:sz w:val="32"/>
          <w:szCs w:val="32"/>
        </w:rPr>
      </w:pPr>
      <w:r>
        <w:rPr>
          <w:rFonts w:eastAsia="方正仿宋_GB2312"/>
          <w:kern w:val="0"/>
          <w:sz w:val="32"/>
          <w:szCs w:val="32"/>
        </w:rPr>
        <w:t>（四）货物、工程和服务项目的采购是否遵守政府采购制度、招投标管理制度和学校相关规定；</w:t>
      </w:r>
    </w:p>
    <w:p w14:paraId="3D1DD993">
      <w:pPr>
        <w:spacing w:line="579" w:lineRule="exact"/>
        <w:ind w:firstLine="640" w:firstLineChars="200"/>
        <w:rPr>
          <w:rFonts w:eastAsia="方正仿宋_GB2312"/>
          <w:kern w:val="0"/>
          <w:sz w:val="32"/>
          <w:szCs w:val="32"/>
        </w:rPr>
      </w:pPr>
      <w:r>
        <w:rPr>
          <w:rFonts w:eastAsia="方正仿宋_GB2312"/>
          <w:kern w:val="0"/>
          <w:sz w:val="32"/>
          <w:szCs w:val="32"/>
        </w:rPr>
        <w:t>（五）符合固定资产标准的资产是否办理固定资产手续，该入库的材料是否办理材料入库手续；</w:t>
      </w:r>
    </w:p>
    <w:p w14:paraId="07796DAB">
      <w:pPr>
        <w:spacing w:line="579" w:lineRule="exact"/>
        <w:ind w:firstLine="640" w:firstLineChars="200"/>
        <w:rPr>
          <w:rFonts w:eastAsia="方正仿宋_GB2312"/>
          <w:kern w:val="0"/>
          <w:sz w:val="32"/>
          <w:szCs w:val="32"/>
        </w:rPr>
      </w:pPr>
      <w:r>
        <w:rPr>
          <w:rFonts w:eastAsia="方正仿宋_GB2312"/>
          <w:kern w:val="0"/>
          <w:sz w:val="32"/>
          <w:szCs w:val="32"/>
        </w:rPr>
        <w:t>（六）审批时明确经费开支项目和批准报销的金额；</w:t>
      </w:r>
    </w:p>
    <w:p w14:paraId="3DE61A3E">
      <w:pPr>
        <w:spacing w:line="579" w:lineRule="exact"/>
        <w:ind w:firstLine="640" w:firstLineChars="200"/>
        <w:rPr>
          <w:rFonts w:eastAsia="方正仿宋_GB2312"/>
          <w:kern w:val="0"/>
          <w:sz w:val="32"/>
          <w:szCs w:val="32"/>
        </w:rPr>
      </w:pPr>
      <w:r>
        <w:rPr>
          <w:rFonts w:eastAsia="方正仿宋_GB2312"/>
          <w:kern w:val="0"/>
          <w:sz w:val="32"/>
          <w:szCs w:val="32"/>
        </w:rPr>
        <w:t>（七）款项支付是否与合同一致，是否存在分拆合同、提前付款及超合同付款。</w:t>
      </w:r>
    </w:p>
    <w:p w14:paraId="72851EB1">
      <w:pPr>
        <w:spacing w:line="579" w:lineRule="exact"/>
        <w:ind w:firstLine="640" w:firstLineChars="200"/>
        <w:rPr>
          <w:rFonts w:eastAsia="方正仿宋_GB2312"/>
          <w:sz w:val="32"/>
        </w:rPr>
      </w:pPr>
      <w:r>
        <w:rPr>
          <w:rFonts w:eastAsia="方正黑体_GBK"/>
          <w:kern w:val="0"/>
          <w:sz w:val="32"/>
          <w:szCs w:val="32"/>
        </w:rPr>
        <w:t>第十三条</w:t>
      </w:r>
      <w:r>
        <w:rPr>
          <w:rFonts w:eastAsia="方正仿宋_GB2312"/>
          <w:sz w:val="32"/>
        </w:rPr>
        <w:t xml:space="preserve"> 基本运行经费或业务费支出审批权限</w:t>
      </w:r>
    </w:p>
    <w:tbl>
      <w:tblPr>
        <w:tblStyle w:val="1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9"/>
        <w:gridCol w:w="4709"/>
        <w:gridCol w:w="1330"/>
      </w:tblGrid>
      <w:tr w14:paraId="48BE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5" w:hRule="atLeast"/>
        </w:trPr>
        <w:tc>
          <w:tcPr>
            <w:tcW w:w="1666" w:type="pct"/>
            <w:vAlign w:val="center"/>
          </w:tcPr>
          <w:p w14:paraId="378A9101">
            <w:pPr>
              <w:spacing w:line="400" w:lineRule="exact"/>
              <w:jc w:val="center"/>
              <w:rPr>
                <w:rFonts w:ascii="等线" w:hAnsi="等线" w:eastAsia="方正仿宋_GB2312"/>
                <w:b/>
                <w:bCs/>
                <w:sz w:val="28"/>
                <w:szCs w:val="28"/>
              </w:rPr>
            </w:pPr>
            <w:r>
              <w:rPr>
                <w:rFonts w:ascii="等线" w:hAnsi="等线" w:eastAsia="方正仿宋_GB2312"/>
                <w:b/>
                <w:bCs/>
                <w:sz w:val="28"/>
                <w:szCs w:val="28"/>
              </w:rPr>
              <w:t>单笔金额</w:t>
            </w:r>
          </w:p>
        </w:tc>
        <w:tc>
          <w:tcPr>
            <w:tcW w:w="2598" w:type="pct"/>
            <w:vAlign w:val="center"/>
          </w:tcPr>
          <w:p w14:paraId="583FD001">
            <w:pPr>
              <w:spacing w:line="400" w:lineRule="exact"/>
              <w:jc w:val="center"/>
              <w:rPr>
                <w:rFonts w:ascii="等线" w:hAnsi="等线" w:eastAsia="方正仿宋_GB2312"/>
                <w:b/>
                <w:bCs/>
                <w:sz w:val="28"/>
                <w:szCs w:val="28"/>
              </w:rPr>
            </w:pPr>
            <w:r>
              <w:rPr>
                <w:rFonts w:ascii="等线" w:hAnsi="等线" w:eastAsia="方正仿宋_GB2312"/>
                <w:b/>
                <w:bCs/>
                <w:sz w:val="28"/>
                <w:szCs w:val="28"/>
              </w:rPr>
              <w:t>审批人</w:t>
            </w:r>
          </w:p>
        </w:tc>
        <w:tc>
          <w:tcPr>
            <w:tcW w:w="734" w:type="pct"/>
            <w:vAlign w:val="center"/>
          </w:tcPr>
          <w:p w14:paraId="6122FEFD">
            <w:pPr>
              <w:spacing w:line="400" w:lineRule="exact"/>
              <w:jc w:val="center"/>
              <w:rPr>
                <w:rFonts w:ascii="等线" w:hAnsi="等线" w:eastAsia="方正仿宋_GB2312"/>
                <w:sz w:val="28"/>
                <w:szCs w:val="28"/>
              </w:rPr>
            </w:pPr>
            <w:r>
              <w:rPr>
                <w:rFonts w:ascii="等线" w:hAnsi="等线" w:eastAsia="方正仿宋_GB2312"/>
                <w:b/>
                <w:bCs/>
                <w:sz w:val="28"/>
                <w:szCs w:val="28"/>
              </w:rPr>
              <w:t>备注</w:t>
            </w:r>
          </w:p>
        </w:tc>
      </w:tr>
      <w:tr w14:paraId="3533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66" w:type="pct"/>
            <w:vAlign w:val="center"/>
          </w:tcPr>
          <w:p w14:paraId="56F9BAC8">
            <w:pPr>
              <w:spacing w:line="400" w:lineRule="exact"/>
              <w:rPr>
                <w:rFonts w:ascii="等线" w:hAnsi="等线" w:eastAsia="方正仿宋_GB2312"/>
                <w:sz w:val="28"/>
                <w:szCs w:val="28"/>
              </w:rPr>
            </w:pPr>
            <w:r>
              <w:rPr>
                <w:rFonts w:ascii="等线" w:hAnsi="等线" w:eastAsia="方正仿宋_GB2312"/>
                <w:sz w:val="28"/>
                <w:szCs w:val="28"/>
              </w:rPr>
              <w:t>1万元以下</w:t>
            </w:r>
          </w:p>
        </w:tc>
        <w:tc>
          <w:tcPr>
            <w:tcW w:w="2598" w:type="pct"/>
            <w:vAlign w:val="center"/>
          </w:tcPr>
          <w:p w14:paraId="56BC325B">
            <w:pPr>
              <w:spacing w:line="400" w:lineRule="exact"/>
              <w:rPr>
                <w:rFonts w:ascii="等线" w:hAnsi="等线" w:eastAsia="方正仿宋_GB2312"/>
                <w:sz w:val="28"/>
                <w:szCs w:val="28"/>
              </w:rPr>
            </w:pPr>
            <w:r>
              <w:rPr>
                <w:rFonts w:ascii="等线" w:hAnsi="等线" w:eastAsia="方正仿宋_GB2312"/>
                <w:sz w:val="28"/>
                <w:szCs w:val="28"/>
              </w:rPr>
              <w:t>经费负责人</w:t>
            </w:r>
          </w:p>
        </w:tc>
        <w:tc>
          <w:tcPr>
            <w:tcW w:w="734" w:type="pct"/>
            <w:vMerge w:val="restart"/>
            <w:vAlign w:val="center"/>
          </w:tcPr>
          <w:p w14:paraId="525C40F8">
            <w:pPr>
              <w:spacing w:line="400" w:lineRule="exact"/>
              <w:rPr>
                <w:rFonts w:ascii="等线" w:hAnsi="等线" w:eastAsia="方正仿宋_GB2312"/>
                <w:sz w:val="28"/>
                <w:szCs w:val="28"/>
              </w:rPr>
            </w:pPr>
            <w:r>
              <w:rPr>
                <w:rFonts w:ascii="等线" w:hAnsi="等线" w:eastAsia="方正仿宋_GB2312"/>
                <w:sz w:val="28"/>
                <w:szCs w:val="28"/>
              </w:rPr>
              <w:t>无其他领导会签的，由分管校领导加签。</w:t>
            </w:r>
          </w:p>
          <w:p w14:paraId="7A8942D6">
            <w:pPr>
              <w:spacing w:line="400" w:lineRule="exact"/>
              <w:rPr>
                <w:rFonts w:ascii="等线" w:hAnsi="等线" w:eastAsia="方正仿宋_GB2312"/>
                <w:sz w:val="28"/>
                <w:szCs w:val="28"/>
              </w:rPr>
            </w:pPr>
          </w:p>
        </w:tc>
      </w:tr>
      <w:tr w14:paraId="7DEB2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66" w:type="pct"/>
            <w:vAlign w:val="center"/>
          </w:tcPr>
          <w:p w14:paraId="07A1A6C7">
            <w:pPr>
              <w:spacing w:line="400" w:lineRule="exact"/>
              <w:rPr>
                <w:rFonts w:ascii="等线" w:hAnsi="等线" w:eastAsia="方正仿宋_GB2312"/>
                <w:sz w:val="28"/>
                <w:szCs w:val="28"/>
              </w:rPr>
            </w:pPr>
            <w:r>
              <w:rPr>
                <w:rFonts w:ascii="等线" w:hAnsi="等线" w:eastAsia="方正仿宋_GB2312"/>
                <w:sz w:val="28"/>
                <w:szCs w:val="28"/>
              </w:rPr>
              <w:t>1万元（含）至2万元</w:t>
            </w:r>
          </w:p>
        </w:tc>
        <w:tc>
          <w:tcPr>
            <w:tcW w:w="2598" w:type="pct"/>
            <w:vAlign w:val="center"/>
          </w:tcPr>
          <w:p w14:paraId="7C31A986">
            <w:pPr>
              <w:spacing w:line="400" w:lineRule="exact"/>
              <w:rPr>
                <w:rFonts w:ascii="等线" w:hAnsi="等线" w:eastAsia="方正仿宋_GB2312"/>
                <w:sz w:val="28"/>
                <w:szCs w:val="28"/>
              </w:rPr>
            </w:pPr>
            <w:r>
              <w:rPr>
                <w:rFonts w:ascii="等线" w:hAnsi="等线" w:eastAsia="方正仿宋_GB2312"/>
                <w:sz w:val="28"/>
                <w:szCs w:val="28"/>
              </w:rPr>
              <w:t>党政负责人或部门班子成员会签</w:t>
            </w:r>
          </w:p>
        </w:tc>
        <w:tc>
          <w:tcPr>
            <w:tcW w:w="734" w:type="pct"/>
            <w:vMerge w:val="continue"/>
            <w:vAlign w:val="center"/>
          </w:tcPr>
          <w:p w14:paraId="72E58057">
            <w:pPr>
              <w:spacing w:line="400" w:lineRule="exact"/>
              <w:rPr>
                <w:rFonts w:ascii="等线" w:hAnsi="等线" w:eastAsia="方正仿宋_GB2312"/>
                <w:sz w:val="28"/>
                <w:szCs w:val="28"/>
              </w:rPr>
            </w:pPr>
          </w:p>
        </w:tc>
      </w:tr>
      <w:tr w14:paraId="794D7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666" w:type="pct"/>
            <w:vAlign w:val="center"/>
          </w:tcPr>
          <w:p w14:paraId="51741A24">
            <w:pPr>
              <w:spacing w:line="400" w:lineRule="exact"/>
              <w:rPr>
                <w:rFonts w:ascii="等线" w:hAnsi="等线" w:eastAsia="方正仿宋_GB2312"/>
                <w:sz w:val="28"/>
                <w:szCs w:val="28"/>
              </w:rPr>
            </w:pPr>
            <w:r>
              <w:rPr>
                <w:rFonts w:ascii="等线" w:hAnsi="等线" w:eastAsia="方正仿宋_GB2312"/>
                <w:sz w:val="28"/>
                <w:szCs w:val="28"/>
              </w:rPr>
              <w:t>2万元（含） 至5万元</w:t>
            </w:r>
          </w:p>
        </w:tc>
        <w:tc>
          <w:tcPr>
            <w:tcW w:w="2598" w:type="pct"/>
            <w:vAlign w:val="center"/>
          </w:tcPr>
          <w:p w14:paraId="0DE04490">
            <w:pPr>
              <w:spacing w:line="400" w:lineRule="exact"/>
              <w:rPr>
                <w:rFonts w:ascii="等线" w:hAnsi="等线" w:eastAsia="方正仿宋_GB2312"/>
                <w:sz w:val="28"/>
                <w:szCs w:val="28"/>
              </w:rPr>
            </w:pPr>
            <w:r>
              <w:rPr>
                <w:rFonts w:ascii="等线" w:hAnsi="等线" w:eastAsia="方正仿宋_GB2312"/>
                <w:sz w:val="28"/>
                <w:szCs w:val="28"/>
              </w:rPr>
              <w:t>党政负责人或部门班子成员会签（并附集体研究纪要）</w:t>
            </w:r>
          </w:p>
        </w:tc>
        <w:tc>
          <w:tcPr>
            <w:tcW w:w="734" w:type="pct"/>
            <w:vMerge w:val="continue"/>
            <w:vAlign w:val="center"/>
          </w:tcPr>
          <w:p w14:paraId="1162BACE">
            <w:pPr>
              <w:spacing w:line="400" w:lineRule="exact"/>
              <w:rPr>
                <w:rFonts w:ascii="等线" w:hAnsi="等线" w:eastAsia="方正仿宋_GB2312"/>
                <w:sz w:val="28"/>
                <w:szCs w:val="28"/>
              </w:rPr>
            </w:pPr>
          </w:p>
        </w:tc>
      </w:tr>
      <w:tr w14:paraId="3B5A6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66" w:type="pct"/>
            <w:vAlign w:val="center"/>
          </w:tcPr>
          <w:p w14:paraId="57405324">
            <w:pPr>
              <w:spacing w:line="400" w:lineRule="exact"/>
              <w:rPr>
                <w:rFonts w:ascii="等线" w:hAnsi="等线" w:eastAsia="方正仿宋_GB2312"/>
                <w:sz w:val="28"/>
                <w:szCs w:val="28"/>
              </w:rPr>
            </w:pPr>
            <w:r>
              <w:rPr>
                <w:rFonts w:ascii="等线" w:hAnsi="等线" w:eastAsia="方正仿宋_GB2312"/>
                <w:sz w:val="28"/>
                <w:szCs w:val="28"/>
              </w:rPr>
              <w:t>5万元（含） 至10万元</w:t>
            </w:r>
          </w:p>
        </w:tc>
        <w:tc>
          <w:tcPr>
            <w:tcW w:w="2598" w:type="pct"/>
            <w:vAlign w:val="center"/>
          </w:tcPr>
          <w:p w14:paraId="04B909BC">
            <w:pPr>
              <w:spacing w:line="400" w:lineRule="exact"/>
              <w:rPr>
                <w:rFonts w:ascii="等线" w:hAnsi="等线" w:eastAsia="方正仿宋_GB2312"/>
                <w:sz w:val="28"/>
                <w:szCs w:val="28"/>
              </w:rPr>
            </w:pPr>
            <w:r>
              <w:rPr>
                <w:rFonts w:ascii="等线" w:hAnsi="等线" w:eastAsia="方正仿宋_GB2312"/>
                <w:sz w:val="28"/>
                <w:szCs w:val="28"/>
              </w:rPr>
              <w:t>党政负责人或部门班子成员会签（并附集体研究纪要），分管业务校领导审批</w:t>
            </w:r>
          </w:p>
        </w:tc>
        <w:tc>
          <w:tcPr>
            <w:tcW w:w="734" w:type="pct"/>
            <w:vMerge w:val="continue"/>
            <w:vAlign w:val="center"/>
          </w:tcPr>
          <w:p w14:paraId="40BF3115">
            <w:pPr>
              <w:spacing w:line="400" w:lineRule="exact"/>
              <w:rPr>
                <w:rFonts w:ascii="等线" w:hAnsi="等线" w:eastAsia="方正仿宋_GB2312"/>
                <w:sz w:val="28"/>
                <w:szCs w:val="28"/>
              </w:rPr>
            </w:pPr>
          </w:p>
        </w:tc>
      </w:tr>
      <w:tr w14:paraId="79F1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66" w:type="pct"/>
            <w:vAlign w:val="center"/>
          </w:tcPr>
          <w:p w14:paraId="2C8CC5DA">
            <w:pPr>
              <w:spacing w:line="400" w:lineRule="exact"/>
              <w:rPr>
                <w:rFonts w:ascii="等线" w:hAnsi="等线" w:eastAsia="方正仿宋_GB2312"/>
                <w:sz w:val="28"/>
                <w:szCs w:val="28"/>
              </w:rPr>
            </w:pPr>
            <w:r>
              <w:rPr>
                <w:rFonts w:ascii="等线" w:hAnsi="等线" w:eastAsia="方正仿宋_GB2312"/>
                <w:sz w:val="28"/>
                <w:szCs w:val="28"/>
              </w:rPr>
              <w:t>10万元（含） 至100万元</w:t>
            </w:r>
          </w:p>
        </w:tc>
        <w:tc>
          <w:tcPr>
            <w:tcW w:w="2598" w:type="pct"/>
            <w:vAlign w:val="center"/>
          </w:tcPr>
          <w:p w14:paraId="26800259">
            <w:pPr>
              <w:spacing w:line="400" w:lineRule="exact"/>
              <w:rPr>
                <w:rFonts w:ascii="等线" w:hAnsi="等线" w:eastAsia="方正仿宋_GB2312"/>
                <w:sz w:val="28"/>
                <w:szCs w:val="28"/>
              </w:rPr>
            </w:pPr>
            <w:r>
              <w:rPr>
                <w:rFonts w:ascii="等线" w:hAnsi="等线" w:eastAsia="方正仿宋_GB2312"/>
                <w:sz w:val="28"/>
                <w:szCs w:val="28"/>
              </w:rPr>
              <w:t>党政负责人或部门班子成员会签（并附集体研究纪要），分管业务和财务校领导、校长审批，附校长办公会纪要</w:t>
            </w:r>
          </w:p>
        </w:tc>
        <w:tc>
          <w:tcPr>
            <w:tcW w:w="734" w:type="pct"/>
            <w:vMerge w:val="continue"/>
            <w:vAlign w:val="center"/>
          </w:tcPr>
          <w:p w14:paraId="0BD0072B">
            <w:pPr>
              <w:spacing w:line="400" w:lineRule="exact"/>
              <w:rPr>
                <w:rFonts w:ascii="等线" w:hAnsi="等线" w:eastAsia="方正仿宋_GB2312"/>
                <w:sz w:val="28"/>
                <w:szCs w:val="28"/>
              </w:rPr>
            </w:pPr>
          </w:p>
        </w:tc>
      </w:tr>
      <w:tr w14:paraId="11FE8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66" w:type="pct"/>
            <w:vAlign w:val="center"/>
          </w:tcPr>
          <w:p w14:paraId="2E2419E7">
            <w:pPr>
              <w:spacing w:line="400" w:lineRule="exact"/>
              <w:rPr>
                <w:rFonts w:ascii="等线" w:hAnsi="等线" w:eastAsia="方正仿宋_GB2312"/>
                <w:sz w:val="28"/>
                <w:szCs w:val="28"/>
              </w:rPr>
            </w:pPr>
            <w:r>
              <w:rPr>
                <w:rFonts w:ascii="等线" w:hAnsi="等线" w:eastAsia="方正仿宋_GB2312"/>
                <w:sz w:val="28"/>
                <w:szCs w:val="28"/>
              </w:rPr>
              <w:t>100万元（含） 以上</w:t>
            </w:r>
          </w:p>
        </w:tc>
        <w:tc>
          <w:tcPr>
            <w:tcW w:w="2598" w:type="pct"/>
            <w:vAlign w:val="center"/>
          </w:tcPr>
          <w:p w14:paraId="0C55C4E6">
            <w:pPr>
              <w:spacing w:line="400" w:lineRule="exact"/>
              <w:rPr>
                <w:rFonts w:ascii="等线" w:hAnsi="等线" w:eastAsia="方正仿宋_GB2312"/>
                <w:sz w:val="28"/>
                <w:szCs w:val="28"/>
              </w:rPr>
            </w:pPr>
            <w:r>
              <w:rPr>
                <w:rFonts w:ascii="等线" w:hAnsi="等线" w:eastAsia="方正仿宋_GB2312"/>
                <w:sz w:val="28"/>
                <w:szCs w:val="28"/>
              </w:rPr>
              <w:t>党政负责人或部门班子成员会签（并附集体研究纪要），分管业务和财务校领导、校长审批，附校长办公会、党委会纪要</w:t>
            </w:r>
          </w:p>
        </w:tc>
        <w:tc>
          <w:tcPr>
            <w:tcW w:w="734" w:type="pct"/>
            <w:vMerge w:val="continue"/>
            <w:vAlign w:val="center"/>
          </w:tcPr>
          <w:p w14:paraId="74192FC9">
            <w:pPr>
              <w:spacing w:line="400" w:lineRule="exact"/>
              <w:rPr>
                <w:rFonts w:ascii="等线" w:hAnsi="等线" w:eastAsia="方正仿宋_GB2312"/>
                <w:sz w:val="28"/>
                <w:szCs w:val="28"/>
              </w:rPr>
            </w:pPr>
          </w:p>
        </w:tc>
      </w:tr>
    </w:tbl>
    <w:p w14:paraId="0AC74BFE">
      <w:pPr>
        <w:spacing w:line="600" w:lineRule="exact"/>
        <w:ind w:firstLine="640" w:firstLineChars="200"/>
        <w:jc w:val="left"/>
        <w:rPr>
          <w:rFonts w:eastAsia="方正仿宋_GB2312"/>
          <w:kern w:val="0"/>
          <w:sz w:val="32"/>
          <w:szCs w:val="32"/>
        </w:rPr>
      </w:pPr>
    </w:p>
    <w:p w14:paraId="46BF89A6">
      <w:pPr>
        <w:spacing w:line="560" w:lineRule="exact"/>
        <w:ind w:firstLine="640" w:firstLineChars="200"/>
        <w:rPr>
          <w:rFonts w:eastAsia="方正仿宋_GB2312"/>
          <w:sz w:val="32"/>
        </w:rPr>
      </w:pPr>
      <w:r>
        <w:rPr>
          <w:rFonts w:eastAsia="方正黑体_GBK"/>
          <w:kern w:val="0"/>
          <w:sz w:val="32"/>
          <w:szCs w:val="32"/>
        </w:rPr>
        <w:t>第十四条</w:t>
      </w:r>
      <w:r>
        <w:rPr>
          <w:rFonts w:eastAsia="方正仿宋_GB2312"/>
          <w:sz w:val="32"/>
        </w:rPr>
        <w:t xml:space="preserve"> 专项经费支出审批权限</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0"/>
        <w:gridCol w:w="4711"/>
        <w:gridCol w:w="1324"/>
      </w:tblGrid>
      <w:tr w14:paraId="3E6F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67" w:type="pct"/>
            <w:vAlign w:val="center"/>
          </w:tcPr>
          <w:p w14:paraId="5147A9EF">
            <w:pPr>
              <w:spacing w:line="400" w:lineRule="exact"/>
              <w:jc w:val="center"/>
              <w:rPr>
                <w:rFonts w:ascii="等线" w:hAnsi="等线" w:eastAsia="方正仿宋_GB2312"/>
                <w:b/>
                <w:bCs/>
                <w:sz w:val="28"/>
                <w:szCs w:val="28"/>
              </w:rPr>
            </w:pPr>
            <w:r>
              <w:rPr>
                <w:rFonts w:ascii="等线" w:hAnsi="等线" w:eastAsia="方正仿宋_GB2312"/>
                <w:b/>
                <w:bCs/>
                <w:sz w:val="28"/>
                <w:szCs w:val="28"/>
              </w:rPr>
              <w:t>单笔金额</w:t>
            </w:r>
          </w:p>
        </w:tc>
        <w:tc>
          <w:tcPr>
            <w:tcW w:w="2601" w:type="pct"/>
            <w:vAlign w:val="center"/>
          </w:tcPr>
          <w:p w14:paraId="6879189D">
            <w:pPr>
              <w:spacing w:line="400" w:lineRule="exact"/>
              <w:jc w:val="center"/>
              <w:rPr>
                <w:rFonts w:ascii="等线" w:hAnsi="等线" w:eastAsia="方正仿宋_GB2312"/>
                <w:b/>
                <w:bCs/>
                <w:sz w:val="28"/>
                <w:szCs w:val="28"/>
              </w:rPr>
            </w:pPr>
            <w:r>
              <w:rPr>
                <w:rFonts w:ascii="等线" w:hAnsi="等线" w:eastAsia="方正仿宋_GB2312"/>
                <w:b/>
                <w:bCs/>
                <w:sz w:val="28"/>
                <w:szCs w:val="28"/>
              </w:rPr>
              <w:t>审批人</w:t>
            </w:r>
          </w:p>
        </w:tc>
        <w:tc>
          <w:tcPr>
            <w:tcW w:w="731" w:type="pct"/>
            <w:vAlign w:val="center"/>
          </w:tcPr>
          <w:p w14:paraId="48905FDF">
            <w:pPr>
              <w:spacing w:line="400" w:lineRule="exact"/>
              <w:jc w:val="center"/>
              <w:rPr>
                <w:rFonts w:ascii="等线" w:hAnsi="等线" w:eastAsia="方正仿宋_GB2312"/>
                <w:sz w:val="28"/>
                <w:szCs w:val="28"/>
              </w:rPr>
            </w:pPr>
            <w:r>
              <w:rPr>
                <w:rFonts w:ascii="等线" w:hAnsi="等线" w:eastAsia="方正仿宋_GB2312"/>
                <w:b/>
                <w:bCs/>
                <w:sz w:val="28"/>
                <w:szCs w:val="28"/>
              </w:rPr>
              <w:t>备注</w:t>
            </w:r>
          </w:p>
        </w:tc>
      </w:tr>
      <w:tr w14:paraId="08511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67" w:type="pct"/>
            <w:vAlign w:val="center"/>
          </w:tcPr>
          <w:p w14:paraId="26EB0CA8">
            <w:pPr>
              <w:spacing w:line="400" w:lineRule="exact"/>
              <w:rPr>
                <w:rFonts w:ascii="等线" w:hAnsi="等线" w:eastAsia="方正仿宋_GB2312"/>
                <w:sz w:val="28"/>
                <w:szCs w:val="28"/>
              </w:rPr>
            </w:pPr>
            <w:r>
              <w:rPr>
                <w:rFonts w:ascii="等线" w:hAnsi="等线" w:eastAsia="方正仿宋_GB2312"/>
                <w:sz w:val="28"/>
                <w:szCs w:val="28"/>
              </w:rPr>
              <w:t>2万元以下</w:t>
            </w:r>
          </w:p>
        </w:tc>
        <w:tc>
          <w:tcPr>
            <w:tcW w:w="2601" w:type="pct"/>
            <w:vAlign w:val="center"/>
          </w:tcPr>
          <w:p w14:paraId="6341119D">
            <w:pPr>
              <w:spacing w:line="400" w:lineRule="exact"/>
              <w:rPr>
                <w:rFonts w:ascii="等线" w:hAnsi="等线" w:eastAsia="方正仿宋_GB2312"/>
                <w:sz w:val="28"/>
                <w:szCs w:val="28"/>
              </w:rPr>
            </w:pPr>
            <w:r>
              <w:rPr>
                <w:rFonts w:ascii="等线" w:hAnsi="等线" w:eastAsia="方正仿宋_GB2312"/>
                <w:sz w:val="28"/>
                <w:szCs w:val="28"/>
              </w:rPr>
              <w:t>项目负责人、项目所在单位负责人、归口部门负责人审批</w:t>
            </w:r>
          </w:p>
        </w:tc>
        <w:tc>
          <w:tcPr>
            <w:tcW w:w="731" w:type="pct"/>
            <w:vMerge w:val="restart"/>
            <w:vAlign w:val="center"/>
          </w:tcPr>
          <w:p w14:paraId="4EF75D2C">
            <w:pPr>
              <w:spacing w:line="400" w:lineRule="exact"/>
              <w:rPr>
                <w:rFonts w:ascii="等线" w:hAnsi="等线" w:eastAsia="方正仿宋_GB2312"/>
                <w:sz w:val="28"/>
                <w:szCs w:val="28"/>
              </w:rPr>
            </w:pPr>
            <w:r>
              <w:rPr>
                <w:rFonts w:ascii="等线" w:hAnsi="等线" w:eastAsia="方正仿宋_GB2312"/>
                <w:sz w:val="28"/>
                <w:szCs w:val="28"/>
              </w:rPr>
              <w:t>项目所在单位也是归口单位的，由班子成员会签，且2万元（含）以上由分管业务校领导审批。</w:t>
            </w:r>
            <w:r>
              <w:rPr>
                <w:rFonts w:ascii="等线" w:hAnsi="等线" w:eastAsia="方正仿宋_GB2312"/>
                <w:kern w:val="0"/>
                <w:sz w:val="28"/>
                <w:szCs w:val="22"/>
                <w:lang w:val="zh-CN" w:bidi="zh-CN"/>
              </w:rPr>
              <w:t>基建项目应有现场负责人和科室负责人签字。</w:t>
            </w:r>
          </w:p>
        </w:tc>
      </w:tr>
      <w:tr w14:paraId="15E7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667" w:type="pct"/>
            <w:vAlign w:val="center"/>
          </w:tcPr>
          <w:p w14:paraId="77A1B61D">
            <w:pPr>
              <w:spacing w:line="400" w:lineRule="exact"/>
              <w:rPr>
                <w:rFonts w:ascii="等线" w:hAnsi="等线" w:eastAsia="方正仿宋_GB2312"/>
                <w:sz w:val="28"/>
                <w:szCs w:val="28"/>
              </w:rPr>
            </w:pPr>
            <w:r>
              <w:rPr>
                <w:rFonts w:ascii="等线" w:hAnsi="等线" w:eastAsia="方正仿宋_GB2312"/>
                <w:sz w:val="28"/>
                <w:szCs w:val="28"/>
              </w:rPr>
              <w:t>2万元（含）～5万元</w:t>
            </w:r>
          </w:p>
        </w:tc>
        <w:tc>
          <w:tcPr>
            <w:tcW w:w="2601" w:type="pct"/>
            <w:vAlign w:val="center"/>
          </w:tcPr>
          <w:p w14:paraId="08A3D444">
            <w:pPr>
              <w:spacing w:line="400" w:lineRule="exact"/>
              <w:rPr>
                <w:rFonts w:ascii="等线" w:hAnsi="等线" w:eastAsia="方正仿宋_GB2312"/>
                <w:sz w:val="28"/>
                <w:szCs w:val="28"/>
              </w:rPr>
            </w:pPr>
            <w:r>
              <w:rPr>
                <w:rFonts w:ascii="等线" w:hAnsi="等线" w:eastAsia="方正仿宋_GB2312"/>
                <w:sz w:val="28"/>
                <w:szCs w:val="28"/>
              </w:rPr>
              <w:t>项目负责人、项目所在单位党政负责人或班子成员会签（并附集体研究决定纪要），归口部门分管领导和负责人审批</w:t>
            </w:r>
          </w:p>
        </w:tc>
        <w:tc>
          <w:tcPr>
            <w:tcW w:w="731" w:type="pct"/>
            <w:vMerge w:val="continue"/>
          </w:tcPr>
          <w:p w14:paraId="69D79101">
            <w:pPr>
              <w:spacing w:line="400" w:lineRule="exact"/>
              <w:rPr>
                <w:rFonts w:ascii="等线" w:hAnsi="等线" w:eastAsia="方正仿宋_GB2312"/>
                <w:sz w:val="28"/>
                <w:szCs w:val="28"/>
              </w:rPr>
            </w:pPr>
          </w:p>
        </w:tc>
      </w:tr>
      <w:tr w14:paraId="4A0D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67" w:type="pct"/>
            <w:vAlign w:val="center"/>
          </w:tcPr>
          <w:p w14:paraId="4CF1199C">
            <w:pPr>
              <w:spacing w:line="400" w:lineRule="exact"/>
              <w:rPr>
                <w:rFonts w:ascii="等线" w:hAnsi="等线" w:eastAsia="方正仿宋_GB2312"/>
                <w:sz w:val="28"/>
                <w:szCs w:val="28"/>
              </w:rPr>
            </w:pPr>
            <w:r>
              <w:rPr>
                <w:rFonts w:ascii="等线" w:hAnsi="等线" w:eastAsia="方正仿宋_GB2312"/>
                <w:sz w:val="28"/>
                <w:szCs w:val="28"/>
              </w:rPr>
              <w:t>5万元（含）～10万元</w:t>
            </w:r>
          </w:p>
        </w:tc>
        <w:tc>
          <w:tcPr>
            <w:tcW w:w="2601" w:type="pct"/>
            <w:vAlign w:val="center"/>
          </w:tcPr>
          <w:p w14:paraId="556AEAA5">
            <w:pPr>
              <w:spacing w:line="400" w:lineRule="exact"/>
              <w:rPr>
                <w:rFonts w:ascii="等线" w:hAnsi="等线" w:eastAsia="方正仿宋_GB2312"/>
                <w:sz w:val="28"/>
                <w:szCs w:val="28"/>
              </w:rPr>
            </w:pPr>
            <w:r>
              <w:rPr>
                <w:rFonts w:ascii="等线" w:hAnsi="等线" w:eastAsia="方正仿宋_GB2312"/>
                <w:sz w:val="28"/>
                <w:szCs w:val="28"/>
              </w:rPr>
              <w:t>项目负责人、项目所在单位党政联席会或部（处）务会会签（并附集体研究纪要），归口部门分管领导和负责人审批审核，分管业务校领导审批</w:t>
            </w:r>
          </w:p>
        </w:tc>
        <w:tc>
          <w:tcPr>
            <w:tcW w:w="731" w:type="pct"/>
            <w:vMerge w:val="continue"/>
          </w:tcPr>
          <w:p w14:paraId="5E3EF7AD">
            <w:pPr>
              <w:spacing w:line="400" w:lineRule="exact"/>
              <w:rPr>
                <w:rFonts w:ascii="等线" w:hAnsi="等线" w:eastAsia="方正仿宋_GB2312"/>
                <w:sz w:val="28"/>
                <w:szCs w:val="28"/>
              </w:rPr>
            </w:pPr>
          </w:p>
        </w:tc>
      </w:tr>
      <w:tr w14:paraId="01926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67" w:type="pct"/>
            <w:vAlign w:val="center"/>
          </w:tcPr>
          <w:p w14:paraId="2E8E4337">
            <w:pPr>
              <w:spacing w:line="400" w:lineRule="exact"/>
              <w:rPr>
                <w:rFonts w:ascii="等线" w:hAnsi="等线" w:eastAsia="方正仿宋_GB2312"/>
                <w:sz w:val="28"/>
                <w:szCs w:val="28"/>
              </w:rPr>
            </w:pPr>
            <w:r>
              <w:rPr>
                <w:rFonts w:ascii="等线" w:hAnsi="等线" w:eastAsia="方正仿宋_GB2312"/>
                <w:sz w:val="28"/>
                <w:szCs w:val="28"/>
              </w:rPr>
              <w:t>10万（含）～100万元</w:t>
            </w:r>
          </w:p>
        </w:tc>
        <w:tc>
          <w:tcPr>
            <w:tcW w:w="2601" w:type="pct"/>
            <w:vAlign w:val="center"/>
          </w:tcPr>
          <w:p w14:paraId="4ED68B1E">
            <w:pPr>
              <w:spacing w:line="400" w:lineRule="exact"/>
              <w:rPr>
                <w:rFonts w:ascii="等线" w:hAnsi="等线" w:eastAsia="方正仿宋_GB2312"/>
                <w:sz w:val="28"/>
                <w:szCs w:val="28"/>
              </w:rPr>
            </w:pPr>
            <w:r>
              <w:rPr>
                <w:rFonts w:ascii="等线" w:hAnsi="等线" w:eastAsia="方正仿宋_GB2312"/>
                <w:sz w:val="28"/>
                <w:szCs w:val="28"/>
              </w:rPr>
              <w:t>项目负责人、项目所在单位党政联席会或部（处）务会会签（并附集体研究纪要），归口部门分管领导和负责人审批审核，分管业务和财务校领导、校长审批，附校长办公会纪要</w:t>
            </w:r>
          </w:p>
        </w:tc>
        <w:tc>
          <w:tcPr>
            <w:tcW w:w="731" w:type="pct"/>
            <w:vMerge w:val="continue"/>
          </w:tcPr>
          <w:p w14:paraId="64285795">
            <w:pPr>
              <w:spacing w:line="400" w:lineRule="exact"/>
              <w:rPr>
                <w:rFonts w:ascii="等线" w:hAnsi="等线" w:eastAsia="方正仿宋_GB2312"/>
                <w:sz w:val="28"/>
                <w:szCs w:val="28"/>
              </w:rPr>
            </w:pPr>
          </w:p>
        </w:tc>
      </w:tr>
      <w:tr w14:paraId="71D3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4" w:hRule="atLeast"/>
        </w:trPr>
        <w:tc>
          <w:tcPr>
            <w:tcW w:w="1667" w:type="pct"/>
            <w:vAlign w:val="center"/>
          </w:tcPr>
          <w:p w14:paraId="0B023B11">
            <w:pPr>
              <w:spacing w:line="400" w:lineRule="exact"/>
              <w:rPr>
                <w:rFonts w:ascii="等线" w:hAnsi="等线" w:eastAsia="方正仿宋_GB2312"/>
                <w:sz w:val="28"/>
                <w:szCs w:val="28"/>
              </w:rPr>
            </w:pPr>
            <w:r>
              <w:rPr>
                <w:rFonts w:ascii="等线" w:hAnsi="等线" w:eastAsia="方正仿宋_GB2312"/>
                <w:sz w:val="28"/>
                <w:szCs w:val="28"/>
              </w:rPr>
              <w:t>100万元以上（含）</w:t>
            </w:r>
          </w:p>
        </w:tc>
        <w:tc>
          <w:tcPr>
            <w:tcW w:w="2601" w:type="pct"/>
            <w:vAlign w:val="center"/>
          </w:tcPr>
          <w:p w14:paraId="259ABB2F">
            <w:pPr>
              <w:spacing w:line="400" w:lineRule="exact"/>
              <w:rPr>
                <w:rFonts w:ascii="等线" w:hAnsi="等线" w:eastAsia="方正仿宋_GB2312"/>
                <w:sz w:val="28"/>
                <w:szCs w:val="28"/>
              </w:rPr>
            </w:pPr>
            <w:r>
              <w:rPr>
                <w:rFonts w:ascii="等线" w:hAnsi="等线" w:eastAsia="方正仿宋_GB2312"/>
                <w:sz w:val="28"/>
                <w:szCs w:val="28"/>
              </w:rPr>
              <w:t>项目负责人、项目所在单位党政联席会或部（处）务会会签（并附集体研究纪要），归口部门分管领导和负责人审批审核，分管业务和财务校领导、校长审批，附党委会纪要、校长办公会纪要</w:t>
            </w:r>
          </w:p>
        </w:tc>
        <w:tc>
          <w:tcPr>
            <w:tcW w:w="731" w:type="pct"/>
            <w:vMerge w:val="continue"/>
          </w:tcPr>
          <w:p w14:paraId="76353158">
            <w:pPr>
              <w:spacing w:line="400" w:lineRule="exact"/>
              <w:rPr>
                <w:rFonts w:ascii="等线" w:hAnsi="等线" w:eastAsia="方正仿宋_GB2312"/>
                <w:sz w:val="28"/>
                <w:szCs w:val="28"/>
              </w:rPr>
            </w:pPr>
          </w:p>
        </w:tc>
      </w:tr>
    </w:tbl>
    <w:p w14:paraId="015A0474">
      <w:pPr>
        <w:spacing w:line="560" w:lineRule="exact"/>
        <w:ind w:firstLine="640" w:firstLineChars="200"/>
        <w:rPr>
          <w:rFonts w:eastAsia="方正仿宋_GB2312"/>
          <w:bCs/>
          <w:sz w:val="32"/>
        </w:rPr>
      </w:pPr>
      <w:r>
        <w:rPr>
          <w:rFonts w:eastAsia="方正黑体_GBK"/>
          <w:kern w:val="0"/>
          <w:sz w:val="32"/>
          <w:szCs w:val="32"/>
        </w:rPr>
        <w:t>第十五条</w:t>
      </w:r>
      <w:r>
        <w:rPr>
          <w:rFonts w:eastAsia="方正仿宋_GB2312"/>
          <w:bCs/>
          <w:sz w:val="32"/>
        </w:rPr>
        <w:t xml:space="preserve"> 科研、教研教改类项目经费支出审批权限</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4"/>
        <w:gridCol w:w="4726"/>
        <w:gridCol w:w="1315"/>
      </w:tblGrid>
      <w:tr w14:paraId="16F4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664" w:type="pct"/>
            <w:vAlign w:val="center"/>
          </w:tcPr>
          <w:p w14:paraId="50CFF187">
            <w:pPr>
              <w:spacing w:line="400" w:lineRule="exact"/>
              <w:jc w:val="center"/>
              <w:rPr>
                <w:rFonts w:ascii="等线" w:hAnsi="等线" w:eastAsia="方正仿宋_GB2312"/>
                <w:b/>
                <w:bCs/>
                <w:sz w:val="30"/>
                <w:szCs w:val="30"/>
              </w:rPr>
            </w:pPr>
            <w:r>
              <w:rPr>
                <w:rFonts w:ascii="等线" w:hAnsi="等线" w:eastAsia="方正仿宋_GB2312"/>
                <w:b/>
                <w:bCs/>
                <w:sz w:val="30"/>
                <w:szCs w:val="30"/>
              </w:rPr>
              <w:t>单笔金额</w:t>
            </w:r>
          </w:p>
        </w:tc>
        <w:tc>
          <w:tcPr>
            <w:tcW w:w="2609" w:type="pct"/>
            <w:vAlign w:val="center"/>
          </w:tcPr>
          <w:p w14:paraId="4F81895F">
            <w:pPr>
              <w:spacing w:line="400" w:lineRule="exact"/>
              <w:jc w:val="center"/>
              <w:rPr>
                <w:rFonts w:ascii="等线" w:hAnsi="等线" w:eastAsia="方正仿宋_GB2312"/>
                <w:b/>
                <w:bCs/>
                <w:sz w:val="30"/>
                <w:szCs w:val="30"/>
              </w:rPr>
            </w:pPr>
            <w:r>
              <w:rPr>
                <w:rFonts w:ascii="等线" w:hAnsi="等线" w:eastAsia="方正仿宋_GB2312"/>
                <w:b/>
                <w:bCs/>
                <w:sz w:val="30"/>
                <w:szCs w:val="30"/>
              </w:rPr>
              <w:t>审批人</w:t>
            </w:r>
          </w:p>
        </w:tc>
        <w:tc>
          <w:tcPr>
            <w:tcW w:w="726" w:type="pct"/>
            <w:vAlign w:val="center"/>
          </w:tcPr>
          <w:p w14:paraId="7348A0DB">
            <w:pPr>
              <w:spacing w:line="400" w:lineRule="exact"/>
              <w:jc w:val="center"/>
              <w:rPr>
                <w:rFonts w:ascii="等线" w:hAnsi="等线" w:eastAsia="方正仿宋_GB2312"/>
              </w:rPr>
            </w:pPr>
            <w:r>
              <w:rPr>
                <w:rFonts w:ascii="等线" w:hAnsi="等线" w:eastAsia="方正仿宋_GB2312"/>
                <w:b/>
                <w:bCs/>
                <w:sz w:val="28"/>
                <w:szCs w:val="28"/>
              </w:rPr>
              <w:t>备注</w:t>
            </w:r>
          </w:p>
        </w:tc>
      </w:tr>
      <w:tr w14:paraId="0D10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64" w:type="pct"/>
            <w:vAlign w:val="center"/>
          </w:tcPr>
          <w:p w14:paraId="588CA081">
            <w:pPr>
              <w:spacing w:line="400" w:lineRule="exact"/>
              <w:rPr>
                <w:rFonts w:ascii="等线" w:hAnsi="等线" w:eastAsia="方正仿宋_GB2312"/>
                <w:sz w:val="30"/>
                <w:szCs w:val="30"/>
              </w:rPr>
            </w:pPr>
            <w:r>
              <w:rPr>
                <w:rFonts w:ascii="等线" w:hAnsi="等线" w:eastAsia="方正仿宋_GB2312"/>
                <w:sz w:val="30"/>
                <w:szCs w:val="30"/>
              </w:rPr>
              <w:t>2万元以下</w:t>
            </w:r>
          </w:p>
        </w:tc>
        <w:tc>
          <w:tcPr>
            <w:tcW w:w="2609" w:type="pct"/>
            <w:vAlign w:val="center"/>
          </w:tcPr>
          <w:p w14:paraId="32C036D2">
            <w:pPr>
              <w:spacing w:line="400" w:lineRule="exact"/>
              <w:rPr>
                <w:rFonts w:ascii="等线" w:hAnsi="等线" w:eastAsia="方正仿宋_GB2312"/>
                <w:sz w:val="30"/>
                <w:szCs w:val="30"/>
              </w:rPr>
            </w:pPr>
            <w:r>
              <w:rPr>
                <w:rFonts w:ascii="等线" w:hAnsi="等线" w:eastAsia="方正仿宋_GB2312"/>
                <w:sz w:val="30"/>
                <w:szCs w:val="30"/>
              </w:rPr>
              <w:t>项目负责人、</w:t>
            </w:r>
            <w:r>
              <w:rPr>
                <w:rFonts w:ascii="等线" w:hAnsi="等线" w:eastAsia="方正仿宋_GB2312"/>
                <w:sz w:val="28"/>
                <w:szCs w:val="28"/>
              </w:rPr>
              <w:t>归口二级学院院长审批</w:t>
            </w:r>
          </w:p>
        </w:tc>
        <w:tc>
          <w:tcPr>
            <w:tcW w:w="726" w:type="pct"/>
            <w:vMerge w:val="restart"/>
            <w:vAlign w:val="center"/>
          </w:tcPr>
          <w:p w14:paraId="5D08EEF6">
            <w:pPr>
              <w:spacing w:line="400" w:lineRule="exact"/>
              <w:rPr>
                <w:rFonts w:ascii="等线" w:hAnsi="等线" w:eastAsia="方正仿宋_GB2312"/>
                <w:sz w:val="28"/>
                <w:szCs w:val="28"/>
              </w:rPr>
            </w:pPr>
            <w:r>
              <w:rPr>
                <w:rFonts w:ascii="等线" w:hAnsi="等线" w:eastAsia="方正仿宋_GB2312"/>
                <w:sz w:val="28"/>
                <w:szCs w:val="28"/>
              </w:rPr>
              <w:t>项目负责人为归口二级学院院长的，由本学院党总支书记或分管校领导审批</w:t>
            </w:r>
          </w:p>
        </w:tc>
      </w:tr>
      <w:tr w14:paraId="291A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64" w:type="pct"/>
            <w:vAlign w:val="center"/>
          </w:tcPr>
          <w:p w14:paraId="1D48E28D">
            <w:pPr>
              <w:spacing w:line="400" w:lineRule="exact"/>
              <w:rPr>
                <w:rFonts w:ascii="等线" w:hAnsi="等线" w:eastAsia="方正仿宋_GB2312"/>
                <w:sz w:val="30"/>
                <w:szCs w:val="30"/>
              </w:rPr>
            </w:pPr>
            <w:r>
              <w:rPr>
                <w:rFonts w:ascii="等线" w:hAnsi="等线" w:eastAsia="方正仿宋_GB2312"/>
                <w:sz w:val="30"/>
                <w:szCs w:val="30"/>
              </w:rPr>
              <w:t>2万元（含）至5万元</w:t>
            </w:r>
          </w:p>
        </w:tc>
        <w:tc>
          <w:tcPr>
            <w:tcW w:w="2609" w:type="pct"/>
            <w:vAlign w:val="center"/>
          </w:tcPr>
          <w:p w14:paraId="708F85CB">
            <w:pPr>
              <w:spacing w:line="400" w:lineRule="exact"/>
              <w:rPr>
                <w:rFonts w:ascii="等线" w:hAnsi="等线" w:eastAsia="方正仿宋_GB2312"/>
                <w:sz w:val="30"/>
                <w:szCs w:val="30"/>
              </w:rPr>
            </w:pPr>
            <w:r>
              <w:rPr>
                <w:rFonts w:ascii="等线" w:hAnsi="等线" w:eastAsia="方正仿宋_GB2312"/>
                <w:sz w:val="30"/>
                <w:szCs w:val="30"/>
              </w:rPr>
              <w:t>项目负责人、</w:t>
            </w:r>
            <w:r>
              <w:rPr>
                <w:rFonts w:ascii="等线" w:hAnsi="等线" w:eastAsia="方正仿宋_GB2312"/>
                <w:sz w:val="28"/>
                <w:szCs w:val="28"/>
              </w:rPr>
              <w:t>归口二级学院负责人、科研处或教务处负责人审批</w:t>
            </w:r>
          </w:p>
        </w:tc>
        <w:tc>
          <w:tcPr>
            <w:tcW w:w="726" w:type="pct"/>
            <w:vMerge w:val="continue"/>
            <w:vAlign w:val="center"/>
          </w:tcPr>
          <w:p w14:paraId="17A20120">
            <w:pPr>
              <w:spacing w:line="400" w:lineRule="exact"/>
              <w:rPr>
                <w:rFonts w:ascii="等线" w:hAnsi="等线" w:eastAsia="方正仿宋_GB2312"/>
                <w:sz w:val="32"/>
              </w:rPr>
            </w:pPr>
          </w:p>
        </w:tc>
      </w:tr>
      <w:tr w14:paraId="67E7B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664" w:type="pct"/>
            <w:vAlign w:val="center"/>
          </w:tcPr>
          <w:p w14:paraId="2E493E61">
            <w:pPr>
              <w:spacing w:line="400" w:lineRule="exact"/>
              <w:rPr>
                <w:rFonts w:ascii="等线" w:hAnsi="等线" w:eastAsia="方正仿宋_GB2312"/>
                <w:sz w:val="30"/>
                <w:szCs w:val="30"/>
              </w:rPr>
            </w:pPr>
            <w:r>
              <w:rPr>
                <w:rFonts w:ascii="等线" w:hAnsi="等线" w:eastAsia="方正仿宋_GB2312"/>
                <w:sz w:val="30"/>
                <w:szCs w:val="30"/>
              </w:rPr>
              <w:t>5万元（含）～10万元</w:t>
            </w:r>
          </w:p>
        </w:tc>
        <w:tc>
          <w:tcPr>
            <w:tcW w:w="2609" w:type="pct"/>
            <w:vAlign w:val="center"/>
          </w:tcPr>
          <w:p w14:paraId="5BF43C51">
            <w:pPr>
              <w:spacing w:line="400" w:lineRule="exact"/>
              <w:rPr>
                <w:rFonts w:ascii="等线" w:hAnsi="等线" w:eastAsia="方正仿宋_GB2312"/>
                <w:sz w:val="30"/>
                <w:szCs w:val="30"/>
              </w:rPr>
            </w:pPr>
            <w:r>
              <w:rPr>
                <w:rFonts w:ascii="等线" w:hAnsi="等线" w:eastAsia="方正仿宋_GB2312"/>
                <w:sz w:val="30"/>
                <w:szCs w:val="30"/>
              </w:rPr>
              <w:t>项目负责人、</w:t>
            </w:r>
            <w:r>
              <w:rPr>
                <w:rFonts w:ascii="等线" w:hAnsi="等线" w:eastAsia="方正仿宋_GB2312"/>
                <w:sz w:val="28"/>
                <w:szCs w:val="28"/>
              </w:rPr>
              <w:t>归口二级学院院长、科研处或教务处负责人，</w:t>
            </w:r>
            <w:r>
              <w:rPr>
                <w:rFonts w:ascii="等线" w:hAnsi="等线" w:eastAsia="方正仿宋_GB2312"/>
                <w:sz w:val="30"/>
                <w:szCs w:val="30"/>
              </w:rPr>
              <w:t>分管业务校领导审批</w:t>
            </w:r>
          </w:p>
        </w:tc>
        <w:tc>
          <w:tcPr>
            <w:tcW w:w="726" w:type="pct"/>
            <w:vMerge w:val="continue"/>
            <w:vAlign w:val="center"/>
          </w:tcPr>
          <w:p w14:paraId="3692C4D3">
            <w:pPr>
              <w:spacing w:line="400" w:lineRule="exact"/>
              <w:rPr>
                <w:rFonts w:ascii="等线" w:hAnsi="等线" w:eastAsia="方正仿宋_GB2312"/>
                <w:sz w:val="32"/>
              </w:rPr>
            </w:pPr>
          </w:p>
        </w:tc>
      </w:tr>
      <w:tr w14:paraId="01DC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64" w:type="pct"/>
            <w:vAlign w:val="center"/>
          </w:tcPr>
          <w:p w14:paraId="05E80159">
            <w:pPr>
              <w:spacing w:line="400" w:lineRule="exact"/>
              <w:rPr>
                <w:rFonts w:ascii="等线" w:hAnsi="等线" w:eastAsia="方正仿宋_GB2312"/>
                <w:sz w:val="30"/>
                <w:szCs w:val="30"/>
              </w:rPr>
            </w:pPr>
            <w:r>
              <w:rPr>
                <w:rFonts w:ascii="等线" w:hAnsi="等线" w:eastAsia="方正仿宋_GB2312"/>
                <w:sz w:val="30"/>
                <w:szCs w:val="30"/>
              </w:rPr>
              <w:t>10万（含）～100万元</w:t>
            </w:r>
          </w:p>
        </w:tc>
        <w:tc>
          <w:tcPr>
            <w:tcW w:w="2609" w:type="pct"/>
            <w:vAlign w:val="center"/>
          </w:tcPr>
          <w:p w14:paraId="380EB262">
            <w:pPr>
              <w:spacing w:line="400" w:lineRule="exact"/>
              <w:rPr>
                <w:rFonts w:ascii="等线" w:hAnsi="等线" w:eastAsia="方正仿宋_GB2312"/>
                <w:sz w:val="30"/>
                <w:szCs w:val="30"/>
              </w:rPr>
            </w:pPr>
            <w:r>
              <w:rPr>
                <w:rFonts w:ascii="等线" w:hAnsi="等线" w:eastAsia="方正仿宋_GB2312"/>
                <w:sz w:val="30"/>
                <w:szCs w:val="30"/>
              </w:rPr>
              <w:t>项目负责人、</w:t>
            </w:r>
            <w:r>
              <w:rPr>
                <w:rFonts w:ascii="等线" w:hAnsi="等线" w:eastAsia="方正仿宋_GB2312"/>
                <w:sz w:val="28"/>
                <w:szCs w:val="28"/>
              </w:rPr>
              <w:t>归口二级学院院长、科研处或教务处负责人审核，</w:t>
            </w:r>
            <w:r>
              <w:rPr>
                <w:rFonts w:ascii="等线" w:hAnsi="等线" w:eastAsia="方正仿宋_GB2312"/>
                <w:sz w:val="30"/>
                <w:szCs w:val="30"/>
              </w:rPr>
              <w:t>分管业务和财务校领导、校长审批，</w:t>
            </w:r>
            <w:r>
              <w:rPr>
                <w:rFonts w:ascii="等线" w:hAnsi="等线" w:eastAsia="方正仿宋_GB2312"/>
                <w:sz w:val="28"/>
                <w:szCs w:val="28"/>
              </w:rPr>
              <w:t>附校长办公会纪要</w:t>
            </w:r>
          </w:p>
        </w:tc>
        <w:tc>
          <w:tcPr>
            <w:tcW w:w="726" w:type="pct"/>
            <w:vMerge w:val="continue"/>
            <w:vAlign w:val="center"/>
          </w:tcPr>
          <w:p w14:paraId="74C92DBE">
            <w:pPr>
              <w:spacing w:line="400" w:lineRule="exact"/>
              <w:rPr>
                <w:rFonts w:ascii="等线" w:hAnsi="等线" w:eastAsia="方正仿宋_GB2312"/>
                <w:sz w:val="32"/>
              </w:rPr>
            </w:pPr>
          </w:p>
        </w:tc>
      </w:tr>
      <w:tr w14:paraId="468B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64" w:type="pct"/>
            <w:vAlign w:val="center"/>
          </w:tcPr>
          <w:p w14:paraId="7794022F">
            <w:pPr>
              <w:spacing w:line="400" w:lineRule="exact"/>
              <w:rPr>
                <w:rFonts w:ascii="等线" w:hAnsi="等线" w:eastAsia="方正仿宋_GB2312"/>
                <w:sz w:val="30"/>
                <w:szCs w:val="30"/>
              </w:rPr>
            </w:pPr>
            <w:r>
              <w:rPr>
                <w:rFonts w:ascii="等线" w:hAnsi="等线" w:eastAsia="方正仿宋_GB2312"/>
                <w:sz w:val="30"/>
                <w:szCs w:val="30"/>
              </w:rPr>
              <w:t>100万元以上（含）</w:t>
            </w:r>
          </w:p>
        </w:tc>
        <w:tc>
          <w:tcPr>
            <w:tcW w:w="2609" w:type="pct"/>
            <w:vAlign w:val="center"/>
          </w:tcPr>
          <w:p w14:paraId="642DE2A9">
            <w:pPr>
              <w:spacing w:line="400" w:lineRule="exact"/>
              <w:rPr>
                <w:rFonts w:ascii="等线" w:hAnsi="等线" w:eastAsia="方正仿宋_GB2312"/>
                <w:sz w:val="30"/>
                <w:szCs w:val="30"/>
              </w:rPr>
            </w:pPr>
            <w:r>
              <w:rPr>
                <w:rFonts w:ascii="等线" w:hAnsi="等线" w:eastAsia="方正仿宋_GB2312"/>
                <w:sz w:val="30"/>
                <w:szCs w:val="30"/>
              </w:rPr>
              <w:t>项目负责人、</w:t>
            </w:r>
            <w:r>
              <w:rPr>
                <w:rFonts w:ascii="等线" w:hAnsi="等线" w:eastAsia="方正仿宋_GB2312"/>
                <w:sz w:val="28"/>
                <w:szCs w:val="28"/>
              </w:rPr>
              <w:t>归口二级学院院长、科研处或教务处负责人审核，</w:t>
            </w:r>
            <w:r>
              <w:rPr>
                <w:rFonts w:ascii="等线" w:hAnsi="等线" w:eastAsia="方正仿宋_GB2312"/>
                <w:sz w:val="30"/>
                <w:szCs w:val="30"/>
              </w:rPr>
              <w:t>分管业务和财务校领导、校长审批，附党委会纪要、校长办公会纪要</w:t>
            </w:r>
          </w:p>
        </w:tc>
        <w:tc>
          <w:tcPr>
            <w:tcW w:w="726" w:type="pct"/>
            <w:vMerge w:val="continue"/>
            <w:vAlign w:val="center"/>
          </w:tcPr>
          <w:p w14:paraId="71646CCD">
            <w:pPr>
              <w:spacing w:line="400" w:lineRule="exact"/>
              <w:rPr>
                <w:rFonts w:ascii="等线" w:hAnsi="等线" w:eastAsia="方正仿宋_GB2312"/>
                <w:sz w:val="32"/>
              </w:rPr>
            </w:pPr>
          </w:p>
        </w:tc>
      </w:tr>
    </w:tbl>
    <w:p w14:paraId="7EC26FCA">
      <w:pPr>
        <w:spacing w:line="579" w:lineRule="exact"/>
        <w:ind w:firstLine="640" w:firstLineChars="200"/>
        <w:rPr>
          <w:rFonts w:eastAsia="方正仿宋_GB2312"/>
          <w:kern w:val="0"/>
          <w:sz w:val="32"/>
          <w:szCs w:val="32"/>
        </w:rPr>
      </w:pPr>
    </w:p>
    <w:p w14:paraId="3198E07A">
      <w:pPr>
        <w:spacing w:line="579" w:lineRule="exact"/>
        <w:ind w:firstLine="640" w:firstLineChars="200"/>
        <w:rPr>
          <w:rFonts w:eastAsia="方正仿宋_GB2312"/>
          <w:sz w:val="32"/>
        </w:rPr>
      </w:pPr>
      <w:r>
        <w:rPr>
          <w:rFonts w:eastAsia="方正黑体_GBK"/>
          <w:kern w:val="0"/>
          <w:sz w:val="32"/>
          <w:szCs w:val="32"/>
        </w:rPr>
        <w:t>第十六条</w:t>
      </w:r>
      <w:r>
        <w:rPr>
          <w:rFonts w:eastAsia="方正仿宋_GB2312"/>
          <w:sz w:val="32"/>
        </w:rPr>
        <w:t xml:space="preserve"> 部分常规事项经费支出审批权限</w:t>
      </w:r>
    </w:p>
    <w:p w14:paraId="47864044">
      <w:pPr>
        <w:spacing w:line="579" w:lineRule="exact"/>
        <w:ind w:firstLine="640" w:firstLineChars="200"/>
        <w:rPr>
          <w:rFonts w:eastAsia="方正仿宋_GB2312"/>
          <w:sz w:val="32"/>
        </w:rPr>
      </w:pPr>
      <w:r>
        <w:rPr>
          <w:rFonts w:eastAsia="方正仿宋_GB2312"/>
          <w:sz w:val="32"/>
        </w:rPr>
        <w:t>1. 学校各二级单位（部门）无权办理对外投资业务，学校利用货币资金、实物和无形资产等对外投资，必须在专家论证基础上，报校长办公会、党委会审定，并按国有资产管理有关规定报主管部门和财政部门批准后方可实施。办理资金支付手续时，须经对外投资经办部门负责人审查后报分管校领导和校长审签。</w:t>
      </w:r>
    </w:p>
    <w:p w14:paraId="0E30862D">
      <w:pPr>
        <w:spacing w:line="579" w:lineRule="exact"/>
        <w:ind w:firstLine="640" w:firstLineChars="200"/>
        <w:rPr>
          <w:rFonts w:eastAsia="方正仿宋_GB2312"/>
          <w:sz w:val="32"/>
        </w:rPr>
      </w:pPr>
      <w:r>
        <w:rPr>
          <w:rFonts w:eastAsia="方正仿宋_GB2312"/>
          <w:sz w:val="32"/>
        </w:rPr>
        <w:t>2. 支出党费、团费等受托代理经费，或者退保证金的，或支付其他往来账款10万元以内的，由经费负责人审批；10万元（含）以上的，由经费负责人和分管校领导审批。</w:t>
      </w:r>
    </w:p>
    <w:p w14:paraId="246C8DA3">
      <w:pPr>
        <w:spacing w:line="579" w:lineRule="exact"/>
        <w:ind w:firstLine="640" w:firstLineChars="200"/>
        <w:rPr>
          <w:rFonts w:eastAsia="方正仿宋_GB2312"/>
          <w:sz w:val="32"/>
        </w:rPr>
      </w:pPr>
      <w:r>
        <w:rPr>
          <w:rFonts w:eastAsia="方正仿宋_GB2312"/>
          <w:sz w:val="32"/>
        </w:rPr>
        <w:t>3. 下列学校预算内常规性经费支出由学校主管部门审批后，由经费负责人和分管校领导审批，不再报上级审批：</w:t>
      </w:r>
    </w:p>
    <w:p w14:paraId="69784DC6">
      <w:pPr>
        <w:spacing w:line="579" w:lineRule="exact"/>
        <w:ind w:firstLine="640" w:firstLineChars="200"/>
        <w:rPr>
          <w:rFonts w:eastAsia="方正仿宋_GB2312"/>
          <w:sz w:val="32"/>
        </w:rPr>
      </w:pPr>
      <w:r>
        <w:rPr>
          <w:rFonts w:eastAsia="方正仿宋_GB2312"/>
          <w:sz w:val="32"/>
        </w:rPr>
        <w:t>（1）按照财务预算正常发放的</w:t>
      </w:r>
      <w:r>
        <w:rPr>
          <w:rFonts w:eastAsia="方正仿宋_GB2312"/>
          <w:kern w:val="0"/>
          <w:sz w:val="32"/>
          <w:szCs w:val="32"/>
        </w:rPr>
        <w:t>财政工资</w:t>
      </w:r>
      <w:r>
        <w:rPr>
          <w:rFonts w:eastAsia="方正仿宋_GB2312"/>
          <w:sz w:val="32"/>
        </w:rPr>
        <w:t>、绩效工资划拨、离退休经费及生活补贴、丧葬抚恤费、</w:t>
      </w:r>
      <w:r>
        <w:rPr>
          <w:rFonts w:eastAsia="方正仿宋_GB2312"/>
          <w:kern w:val="0"/>
          <w:sz w:val="32"/>
          <w:szCs w:val="32"/>
        </w:rPr>
        <w:t>外聘人员工资</w:t>
      </w:r>
      <w:r>
        <w:rPr>
          <w:rFonts w:eastAsia="方正仿宋_GB2312"/>
          <w:sz w:val="32"/>
        </w:rPr>
        <w:t>等人员支出，以及按照规定缴纳住房公积金、社保费用、工会经费等政策性支出；</w:t>
      </w:r>
    </w:p>
    <w:p w14:paraId="5C69C54E">
      <w:pPr>
        <w:spacing w:line="579" w:lineRule="exact"/>
        <w:ind w:firstLine="640" w:firstLineChars="200"/>
        <w:rPr>
          <w:rFonts w:eastAsia="方正仿宋_GB2312"/>
          <w:sz w:val="32"/>
        </w:rPr>
      </w:pPr>
      <w:r>
        <w:rPr>
          <w:rFonts w:eastAsia="方正仿宋_GB2312"/>
          <w:sz w:val="32"/>
        </w:rPr>
        <w:t>（2）定期汇总发放的学生各类奖助学金；</w:t>
      </w:r>
    </w:p>
    <w:p w14:paraId="7039E6CF">
      <w:pPr>
        <w:spacing w:line="579" w:lineRule="exact"/>
        <w:ind w:firstLine="640" w:firstLineChars="200"/>
        <w:rPr>
          <w:rFonts w:eastAsia="方正仿宋_GB2312"/>
          <w:sz w:val="32"/>
        </w:rPr>
      </w:pPr>
      <w:r>
        <w:rPr>
          <w:rFonts w:eastAsia="方正仿宋_GB2312"/>
          <w:sz w:val="32"/>
        </w:rPr>
        <w:t>（3）定期支付的物业管理费、水电费等支出；</w:t>
      </w:r>
    </w:p>
    <w:p w14:paraId="5B33C053">
      <w:pPr>
        <w:spacing w:line="579" w:lineRule="exact"/>
        <w:ind w:firstLine="640" w:firstLineChars="200"/>
        <w:rPr>
          <w:rFonts w:eastAsia="方正仿宋_GB2312"/>
          <w:kern w:val="0"/>
          <w:sz w:val="32"/>
          <w:szCs w:val="32"/>
        </w:rPr>
      </w:pPr>
      <w:r>
        <w:rPr>
          <w:rFonts w:eastAsia="方正仿宋_GB2312"/>
          <w:kern w:val="0"/>
          <w:sz w:val="32"/>
          <w:szCs w:val="32"/>
        </w:rPr>
        <w:t>（4）贷款本金及利息支付、银行账户间资金调拨、内部转账、税金和非税收入上缴等相对固定的支出。</w:t>
      </w:r>
    </w:p>
    <w:p w14:paraId="0EAF8763">
      <w:pPr>
        <w:spacing w:line="579" w:lineRule="exact"/>
        <w:ind w:firstLine="640" w:firstLineChars="200"/>
        <w:rPr>
          <w:rFonts w:eastAsia="方正仿宋_GB2312"/>
          <w:kern w:val="0"/>
          <w:sz w:val="32"/>
          <w:szCs w:val="32"/>
        </w:rPr>
      </w:pPr>
      <w:r>
        <w:rPr>
          <w:rFonts w:eastAsia="方正黑体_GBK"/>
          <w:kern w:val="0"/>
          <w:sz w:val="32"/>
          <w:szCs w:val="32"/>
        </w:rPr>
        <w:t>第十七条</w:t>
      </w:r>
      <w:r>
        <w:rPr>
          <w:rFonts w:eastAsia="方正仿宋_GB2312"/>
          <w:kern w:val="0"/>
          <w:sz w:val="32"/>
          <w:szCs w:val="32"/>
        </w:rPr>
        <w:t xml:space="preserve">  支付要求</w:t>
      </w:r>
    </w:p>
    <w:p w14:paraId="6E4F4A72">
      <w:pPr>
        <w:spacing w:line="579" w:lineRule="exact"/>
        <w:ind w:firstLine="640" w:firstLineChars="200"/>
        <w:rPr>
          <w:rFonts w:eastAsia="方正仿宋_GB2312"/>
          <w:kern w:val="0"/>
          <w:sz w:val="32"/>
          <w:szCs w:val="32"/>
        </w:rPr>
      </w:pPr>
      <w:r>
        <w:rPr>
          <w:rFonts w:eastAsia="方正仿宋_GB2312"/>
          <w:kern w:val="0"/>
          <w:sz w:val="32"/>
          <w:szCs w:val="32"/>
        </w:rPr>
        <w:t>（一）原则上不得使用现金支付；</w:t>
      </w:r>
    </w:p>
    <w:p w14:paraId="444EF050">
      <w:pPr>
        <w:spacing w:line="579" w:lineRule="exact"/>
        <w:ind w:firstLine="640" w:firstLineChars="200"/>
        <w:rPr>
          <w:rFonts w:eastAsia="方正仿宋_GB2312"/>
          <w:kern w:val="0"/>
          <w:sz w:val="32"/>
          <w:szCs w:val="32"/>
        </w:rPr>
      </w:pPr>
      <w:r>
        <w:rPr>
          <w:rFonts w:eastAsia="方正仿宋_GB2312"/>
          <w:kern w:val="0"/>
          <w:sz w:val="32"/>
          <w:szCs w:val="32"/>
        </w:rPr>
        <w:t>（二）单笔支付1000元</w:t>
      </w:r>
      <w:r>
        <w:rPr>
          <w:rFonts w:eastAsia="方正仿宋_GB2312"/>
          <w:kern w:val="0"/>
          <w:sz w:val="28"/>
          <w:szCs w:val="28"/>
          <w:lang w:val="zh-CN" w:bidi="zh-CN"/>
        </w:rPr>
        <w:t>（含）</w:t>
      </w:r>
      <w:r>
        <w:rPr>
          <w:rFonts w:eastAsia="方正仿宋_GB2312"/>
          <w:kern w:val="0"/>
          <w:sz w:val="32"/>
          <w:szCs w:val="32"/>
        </w:rPr>
        <w:t>以上的，须使用公务卡或微信、支付宝（需绑定公务卡）等方式进行结算。报销时需提供公务卡支付的 POS 小票、银行支付流水、邮局汇款凭据、微信、支付宝等第三方支付凭据作为审批和报销附件。</w:t>
      </w:r>
      <w:r>
        <w:rPr>
          <w:rFonts w:eastAsia="方正仿宋_GB2312"/>
          <w:sz w:val="32"/>
        </w:rPr>
        <w:t>报销时由学校账户还款至付款人公务卡。</w:t>
      </w:r>
    </w:p>
    <w:p w14:paraId="7A819DC6">
      <w:pPr>
        <w:spacing w:line="579" w:lineRule="exact"/>
        <w:ind w:firstLine="640" w:firstLineChars="200"/>
        <w:rPr>
          <w:rFonts w:eastAsia="方正仿宋_GB2312"/>
          <w:kern w:val="0"/>
          <w:sz w:val="32"/>
          <w:szCs w:val="32"/>
        </w:rPr>
      </w:pPr>
      <w:r>
        <w:rPr>
          <w:rFonts w:eastAsia="方正黑体_GBK"/>
          <w:kern w:val="0"/>
          <w:sz w:val="32"/>
          <w:szCs w:val="32"/>
        </w:rPr>
        <w:t>第十八条</w:t>
      </w:r>
      <w:r>
        <w:rPr>
          <w:rFonts w:eastAsia="方正仿宋_GB2312"/>
          <w:kern w:val="0"/>
          <w:sz w:val="32"/>
          <w:szCs w:val="32"/>
        </w:rPr>
        <w:tab/>
      </w:r>
      <w:r>
        <w:rPr>
          <w:rFonts w:eastAsia="方正仿宋_GB2312"/>
          <w:kern w:val="0"/>
          <w:sz w:val="32"/>
          <w:szCs w:val="32"/>
        </w:rPr>
        <w:t>其他审批要求</w:t>
      </w:r>
      <w:r>
        <w:rPr>
          <w:rFonts w:eastAsia="方正仿宋_GB2312"/>
          <w:kern w:val="0"/>
          <w:sz w:val="32"/>
          <w:szCs w:val="32"/>
        </w:rPr>
        <w:tab/>
      </w:r>
    </w:p>
    <w:p w14:paraId="219D02B0">
      <w:pPr>
        <w:spacing w:line="579" w:lineRule="exact"/>
        <w:ind w:firstLine="640" w:firstLineChars="200"/>
        <w:rPr>
          <w:rFonts w:eastAsia="方正仿宋_GB2312"/>
          <w:sz w:val="32"/>
        </w:rPr>
      </w:pPr>
      <w:r>
        <w:rPr>
          <w:rFonts w:eastAsia="方正仿宋_GB2312"/>
          <w:kern w:val="0"/>
          <w:sz w:val="32"/>
          <w:szCs w:val="32"/>
        </w:rPr>
        <w:t>（一）</w:t>
      </w:r>
      <w:r>
        <w:rPr>
          <w:rFonts w:eastAsia="方正仿宋_GB2312"/>
          <w:sz w:val="32"/>
        </w:rPr>
        <w:t>所有经济业务，严格按照《重庆化工职业学院采购管理工作实施办法（试行）》的规定执行采购程序，财务报销时，</w:t>
      </w:r>
      <w:r>
        <w:rPr>
          <w:rFonts w:eastAsia="方正仿宋_GB2312"/>
          <w:kern w:val="0"/>
          <w:sz w:val="32"/>
          <w:szCs w:val="32"/>
        </w:rPr>
        <w:t>单笔支付金额</w:t>
      </w:r>
      <w:r>
        <w:rPr>
          <w:rFonts w:eastAsia="方正仿宋_GB2312"/>
          <w:sz w:val="32"/>
        </w:rPr>
        <w:t>2万元以上的采购项目须提供规定的付款通知书、合同（</w:t>
      </w:r>
      <w:r>
        <w:rPr>
          <w:rFonts w:eastAsia="方正仿宋_GB2312"/>
          <w:kern w:val="0"/>
          <w:sz w:val="32"/>
          <w:szCs w:val="32"/>
        </w:rPr>
        <w:t>水电气费</w:t>
      </w:r>
      <w:r>
        <w:rPr>
          <w:rFonts w:eastAsia="方正仿宋_GB2312"/>
          <w:sz w:val="32"/>
        </w:rPr>
        <w:t>等常规事项除外）、验收材料等作为报销材料，按合同约定的付款条款进行付款；</w:t>
      </w:r>
    </w:p>
    <w:p w14:paraId="4C8F2406">
      <w:pPr>
        <w:spacing w:line="579" w:lineRule="exact"/>
        <w:ind w:firstLine="640" w:firstLineChars="200"/>
        <w:rPr>
          <w:rFonts w:eastAsia="方正仿宋_GB2312"/>
          <w:sz w:val="32"/>
        </w:rPr>
      </w:pPr>
      <w:r>
        <w:rPr>
          <w:rFonts w:eastAsia="方正仿宋_GB2312"/>
          <w:sz w:val="32"/>
        </w:rPr>
        <w:t>（二）采购金额达到500元及以上时，应在发票上列明明细，未列明明细的，应当提供销售方出具的明细清单（如电脑小票等），明细清单需加盖销售方印章；</w:t>
      </w:r>
    </w:p>
    <w:p w14:paraId="2946DDD5">
      <w:pPr>
        <w:spacing w:line="579" w:lineRule="exact"/>
        <w:ind w:firstLine="640" w:firstLineChars="200"/>
        <w:rPr>
          <w:rFonts w:eastAsia="方正仿宋_GB2312"/>
          <w:kern w:val="0"/>
          <w:sz w:val="32"/>
          <w:szCs w:val="32"/>
        </w:rPr>
      </w:pPr>
      <w:r>
        <w:rPr>
          <w:rFonts w:eastAsia="方正仿宋_GB2312"/>
          <w:kern w:val="0"/>
          <w:sz w:val="32"/>
          <w:szCs w:val="32"/>
        </w:rPr>
        <w:t>（三）图书出版费报销需提供图书出版合同；</w:t>
      </w:r>
    </w:p>
    <w:p w14:paraId="41FC1967">
      <w:pPr>
        <w:spacing w:line="579" w:lineRule="exact"/>
        <w:ind w:firstLine="640" w:firstLineChars="200"/>
        <w:rPr>
          <w:rFonts w:eastAsia="方正仿宋_GB2312"/>
          <w:kern w:val="0"/>
          <w:sz w:val="32"/>
          <w:szCs w:val="32"/>
        </w:rPr>
      </w:pPr>
      <w:r>
        <w:rPr>
          <w:rFonts w:eastAsia="方正仿宋_GB2312"/>
          <w:kern w:val="0"/>
          <w:sz w:val="32"/>
          <w:szCs w:val="32"/>
        </w:rPr>
        <w:t>（四）临时出国人员和因公短期出国培训人员、公务出差应按学校差旅费管理办法等相关规定执行；</w:t>
      </w:r>
    </w:p>
    <w:p w14:paraId="11369F1E">
      <w:pPr>
        <w:spacing w:line="579" w:lineRule="exact"/>
        <w:ind w:firstLine="640" w:firstLineChars="200"/>
        <w:rPr>
          <w:rFonts w:eastAsia="方正仿宋_GB2312"/>
          <w:kern w:val="0"/>
          <w:sz w:val="32"/>
          <w:szCs w:val="32"/>
        </w:rPr>
      </w:pPr>
      <w:r>
        <w:rPr>
          <w:rFonts w:eastAsia="方正仿宋_GB2312"/>
          <w:kern w:val="0"/>
          <w:sz w:val="32"/>
          <w:szCs w:val="32"/>
        </w:rPr>
        <w:t>（五）国外票据关键内容应翻译成中文，并由翻译人签字，并根据支付日当日汇率折算成人民币；</w:t>
      </w:r>
    </w:p>
    <w:p w14:paraId="6C4F6067">
      <w:pPr>
        <w:spacing w:line="579" w:lineRule="exact"/>
        <w:ind w:firstLine="640" w:firstLineChars="200"/>
        <w:rPr>
          <w:rFonts w:eastAsia="方正仿宋_GB2312"/>
          <w:sz w:val="32"/>
        </w:rPr>
      </w:pPr>
      <w:r>
        <w:rPr>
          <w:rFonts w:eastAsia="方正仿宋_GB2312"/>
          <w:sz w:val="32"/>
        </w:rPr>
        <w:t>（六）报销学会或协会的会费，须提供经分管校领导审核的会费缴纳通知；</w:t>
      </w:r>
    </w:p>
    <w:p w14:paraId="7B38CCE9">
      <w:pPr>
        <w:spacing w:line="579" w:lineRule="exact"/>
        <w:ind w:firstLine="640" w:firstLineChars="200"/>
        <w:rPr>
          <w:rFonts w:eastAsia="方正仿宋_GB2312"/>
          <w:sz w:val="32"/>
        </w:rPr>
      </w:pPr>
      <w:r>
        <w:rPr>
          <w:rFonts w:eastAsia="方正仿宋_GB2312"/>
          <w:sz w:val="32"/>
        </w:rPr>
        <w:t>（七）国有资产的购置、变更、修缮，严格按照《重庆化工职业学院国有资产管理办法》《重庆化工职业学院国有资产验收管理办法》的规定执行验收入库，财务报销时，须提供验收单据作为报销材料；</w:t>
      </w:r>
    </w:p>
    <w:p w14:paraId="24D2DCD8">
      <w:pPr>
        <w:spacing w:line="579" w:lineRule="exact"/>
        <w:ind w:firstLine="640" w:firstLineChars="200"/>
        <w:rPr>
          <w:rFonts w:eastAsia="方正仿宋_GB2312"/>
          <w:sz w:val="32"/>
        </w:rPr>
      </w:pPr>
      <w:r>
        <w:rPr>
          <w:rFonts w:eastAsia="方正仿宋_GB2312"/>
          <w:sz w:val="32"/>
        </w:rPr>
        <w:t>（八）按照学校公务卡管理相关规定，应该使用而未使用公务卡或对公转账结算的，原则上不予审批报销；特殊情形的，填写《重庆化工职业学院未使用公务卡说明》（附件），由经费负责人审批后，方可提交报销；</w:t>
      </w:r>
    </w:p>
    <w:p w14:paraId="08373777">
      <w:pPr>
        <w:spacing w:line="579" w:lineRule="exact"/>
        <w:ind w:firstLine="640" w:firstLineChars="200"/>
        <w:rPr>
          <w:rFonts w:eastAsia="方正仿宋_GB2312"/>
          <w:sz w:val="32"/>
        </w:rPr>
      </w:pPr>
      <w:r>
        <w:rPr>
          <w:rFonts w:eastAsia="方正仿宋_GB2312"/>
          <w:sz w:val="32"/>
        </w:rPr>
        <w:t>（九）为准确、及时反映学校的真实收支情况，各项经费支出应及时报销，原则上当年票据应在当年报销，因年终关账等原因无法报销的费用单据，最迟不能超过次年3月；确因特殊情况发生未能在规定日期前报销的费用单据，应由具体经办人书写“情况说明”，经经办人签字，并由经费负责人、财务处负责人审批后，方可报销。</w:t>
      </w:r>
    </w:p>
    <w:p w14:paraId="4C1D5118">
      <w:pPr>
        <w:spacing w:line="579" w:lineRule="exact"/>
        <w:jc w:val="center"/>
        <w:rPr>
          <w:rFonts w:eastAsia="方正黑体_GBK"/>
          <w:bCs/>
          <w:kern w:val="0"/>
          <w:sz w:val="32"/>
          <w:szCs w:val="32"/>
        </w:rPr>
      </w:pPr>
      <w:r>
        <w:rPr>
          <w:rFonts w:eastAsia="方正黑体_GBK"/>
          <w:bCs/>
          <w:kern w:val="0"/>
          <w:sz w:val="32"/>
          <w:szCs w:val="32"/>
        </w:rPr>
        <w:t>第</w:t>
      </w:r>
      <w:r>
        <w:rPr>
          <w:rFonts w:hint="eastAsia" w:eastAsia="方正黑体_GBK"/>
          <w:bCs/>
          <w:kern w:val="0"/>
          <w:sz w:val="32"/>
          <w:szCs w:val="32"/>
          <w:lang w:val="en-US" w:eastAsia="zh-CN"/>
        </w:rPr>
        <w:t>四</w:t>
      </w:r>
      <w:r>
        <w:rPr>
          <w:rFonts w:eastAsia="方正黑体_GBK"/>
          <w:bCs/>
          <w:kern w:val="0"/>
          <w:sz w:val="32"/>
          <w:szCs w:val="32"/>
        </w:rPr>
        <w:t>章  监督和检查</w:t>
      </w:r>
    </w:p>
    <w:p w14:paraId="5E7478AF">
      <w:pPr>
        <w:spacing w:line="579" w:lineRule="exact"/>
        <w:ind w:firstLine="640" w:firstLineChars="200"/>
        <w:rPr>
          <w:rFonts w:eastAsia="方正仿宋_GB2312"/>
          <w:kern w:val="0"/>
          <w:sz w:val="32"/>
          <w:szCs w:val="32"/>
        </w:rPr>
      </w:pPr>
      <w:r>
        <w:rPr>
          <w:rFonts w:eastAsia="方正黑体_GBK"/>
          <w:kern w:val="0"/>
          <w:sz w:val="32"/>
          <w:szCs w:val="32"/>
        </w:rPr>
        <w:t>第十九条</w:t>
      </w:r>
      <w:r>
        <w:rPr>
          <w:rFonts w:eastAsia="方正仿宋_GB2312"/>
          <w:kern w:val="0"/>
          <w:sz w:val="32"/>
          <w:szCs w:val="32"/>
        </w:rPr>
        <w:t xml:space="preserve">  学校及各单位的经费开支，</w:t>
      </w:r>
      <w:r>
        <w:rPr>
          <w:rFonts w:eastAsia="方正仿宋_GB2312"/>
          <w:sz w:val="32"/>
        </w:rPr>
        <w:t>应加强经费使用和报销的内控建设，并</w:t>
      </w:r>
      <w:r>
        <w:rPr>
          <w:rFonts w:eastAsia="方正仿宋_GB2312"/>
          <w:kern w:val="0"/>
          <w:sz w:val="32"/>
          <w:szCs w:val="32"/>
        </w:rPr>
        <w:t>主动接受上级有关部门及学校有关部门的监督、检查。</w:t>
      </w:r>
    </w:p>
    <w:p w14:paraId="1E801476">
      <w:pPr>
        <w:spacing w:line="579" w:lineRule="exact"/>
        <w:ind w:firstLine="640" w:firstLineChars="200"/>
        <w:rPr>
          <w:rFonts w:eastAsia="方正仿宋_GB2312"/>
          <w:kern w:val="0"/>
          <w:sz w:val="32"/>
          <w:szCs w:val="32"/>
        </w:rPr>
      </w:pPr>
      <w:r>
        <w:rPr>
          <w:rFonts w:eastAsia="方正黑体_GBK"/>
          <w:kern w:val="0"/>
          <w:sz w:val="32"/>
          <w:szCs w:val="32"/>
        </w:rPr>
        <w:t>第二十条</w:t>
      </w:r>
      <w:r>
        <w:rPr>
          <w:rFonts w:eastAsia="方正仿宋_GB2312"/>
          <w:kern w:val="0"/>
          <w:sz w:val="32"/>
          <w:szCs w:val="32"/>
        </w:rPr>
        <w:t xml:space="preserve">  </w:t>
      </w:r>
      <w:r>
        <w:rPr>
          <w:rFonts w:eastAsia="方正仿宋_GB2312"/>
          <w:sz w:val="32"/>
        </w:rPr>
        <w:t>财务报销应遵循“一事一报”原则，</w:t>
      </w:r>
      <w:r>
        <w:rPr>
          <w:rFonts w:eastAsia="方正仿宋_GB2312"/>
          <w:kern w:val="0"/>
          <w:sz w:val="32"/>
          <w:szCs w:val="32"/>
        </w:rPr>
        <w:t>各部门负责人和经办人员必须严格遵守学校规定，</w:t>
      </w:r>
      <w:r>
        <w:rPr>
          <w:rFonts w:eastAsia="方正仿宋_GB2312"/>
          <w:sz w:val="32"/>
        </w:rPr>
        <w:t>对同一经济业务的支出要按规定逐级审批，并一次性完成报销，不得以各种理由或名目，将支出金额化整为零进行拆分审批或财务报销，逃避审查和财务监督。</w:t>
      </w:r>
    </w:p>
    <w:p w14:paraId="08EF6B71">
      <w:pPr>
        <w:spacing w:line="579" w:lineRule="exact"/>
        <w:ind w:firstLine="640" w:firstLineChars="200"/>
        <w:rPr>
          <w:rFonts w:eastAsia="方正仿宋_GB2312"/>
          <w:kern w:val="0"/>
          <w:sz w:val="32"/>
          <w:szCs w:val="32"/>
        </w:rPr>
      </w:pPr>
      <w:r>
        <w:rPr>
          <w:rFonts w:eastAsia="方正黑体_GBK"/>
          <w:kern w:val="0"/>
          <w:sz w:val="32"/>
          <w:szCs w:val="32"/>
        </w:rPr>
        <w:t>第二十一条</w:t>
      </w:r>
      <w:r>
        <w:rPr>
          <w:rFonts w:eastAsia="方正仿宋_GB2312"/>
          <w:kern w:val="0"/>
          <w:sz w:val="32"/>
          <w:szCs w:val="32"/>
        </w:rPr>
        <w:t xml:space="preserve">  </w:t>
      </w:r>
      <w:r>
        <w:rPr>
          <w:rFonts w:eastAsia="方正仿宋_GB2312"/>
          <w:sz w:val="32"/>
        </w:rPr>
        <w:t>严控“三公”经费支出，按规定履行事前审批和事后报销。必须遵守“从严控制、厉行节约、确有必要”的原则，严禁公款旅游，严禁公款购买烟、酒和奢华礼品，严格按上级部门和学校相关办法执行。</w:t>
      </w:r>
    </w:p>
    <w:p w14:paraId="33B7662B">
      <w:pPr>
        <w:spacing w:line="579" w:lineRule="exact"/>
        <w:ind w:firstLine="640" w:firstLineChars="200"/>
        <w:rPr>
          <w:rFonts w:eastAsia="方正仿宋_GB2312"/>
          <w:kern w:val="0"/>
          <w:sz w:val="32"/>
          <w:szCs w:val="32"/>
        </w:rPr>
      </w:pPr>
      <w:r>
        <w:rPr>
          <w:rFonts w:eastAsia="方正黑体_GBK"/>
          <w:kern w:val="0"/>
          <w:sz w:val="32"/>
          <w:szCs w:val="32"/>
        </w:rPr>
        <w:t xml:space="preserve">第二十二条 </w:t>
      </w:r>
      <w:r>
        <w:rPr>
          <w:rFonts w:eastAsia="方正仿宋_GB2312"/>
          <w:kern w:val="0"/>
          <w:sz w:val="32"/>
          <w:szCs w:val="32"/>
        </w:rPr>
        <w:t>责任权限</w:t>
      </w:r>
    </w:p>
    <w:p w14:paraId="25CB28C2">
      <w:pPr>
        <w:spacing w:line="579" w:lineRule="exact"/>
        <w:ind w:firstLine="640" w:firstLineChars="200"/>
        <w:rPr>
          <w:rFonts w:eastAsia="方正仿宋_GB2312"/>
          <w:kern w:val="0"/>
          <w:sz w:val="32"/>
          <w:szCs w:val="32"/>
        </w:rPr>
      </w:pPr>
      <w:r>
        <w:rPr>
          <w:rFonts w:eastAsia="方正仿宋_GB2312"/>
          <w:kern w:val="0"/>
          <w:sz w:val="32"/>
          <w:szCs w:val="32"/>
        </w:rPr>
        <w:t>（一）经办人是相关经济活动及票据的真实性、合法性、合规性、合理性、相关性的第一责任人；验收人是行为真实性、合法性、合规性、合理性、相关性的间接负责人；</w:t>
      </w:r>
    </w:p>
    <w:p w14:paraId="02CDADA7">
      <w:pPr>
        <w:spacing w:line="579" w:lineRule="exact"/>
        <w:ind w:firstLine="640" w:firstLineChars="200"/>
        <w:rPr>
          <w:rFonts w:eastAsia="方正仿宋_GB2312"/>
          <w:kern w:val="0"/>
          <w:sz w:val="32"/>
          <w:szCs w:val="32"/>
        </w:rPr>
      </w:pPr>
      <w:r>
        <w:rPr>
          <w:rFonts w:eastAsia="方正仿宋_GB2312"/>
          <w:kern w:val="0"/>
          <w:sz w:val="32"/>
          <w:szCs w:val="32"/>
        </w:rPr>
        <w:t>（二）经费审批人在履行审批权限时，应遵守有关财经制度，秉公办事，对所审批事项相关经济活动的真实性、合法性、合规性、合理性、相关性负责；</w:t>
      </w:r>
    </w:p>
    <w:p w14:paraId="6B9B0692">
      <w:pPr>
        <w:spacing w:line="579" w:lineRule="exact"/>
        <w:ind w:firstLine="640" w:firstLineChars="200"/>
        <w:rPr>
          <w:rFonts w:eastAsia="方正仿宋_GB2312"/>
          <w:kern w:val="0"/>
          <w:sz w:val="32"/>
          <w:szCs w:val="32"/>
        </w:rPr>
      </w:pPr>
      <w:r>
        <w:rPr>
          <w:rFonts w:eastAsia="方正仿宋_GB2312"/>
          <w:kern w:val="0"/>
          <w:sz w:val="32"/>
          <w:szCs w:val="32"/>
        </w:rPr>
        <w:t>（三）财务处对经费报销手续的完整性、账务处理的准确性负责。对于超出预算、超过项目经费额度的各项支出和不符合财务规定的原始单据不予办理；对于手续和审批程序不完整的，财务人员应退回经办人员补办手续；</w:t>
      </w:r>
    </w:p>
    <w:p w14:paraId="18BBD869">
      <w:pPr>
        <w:spacing w:line="579" w:lineRule="exact"/>
        <w:ind w:firstLine="640" w:firstLineChars="200"/>
        <w:rPr>
          <w:rFonts w:eastAsia="方正仿宋_GB2312"/>
          <w:kern w:val="0"/>
          <w:sz w:val="32"/>
          <w:szCs w:val="32"/>
        </w:rPr>
      </w:pPr>
      <w:r>
        <w:rPr>
          <w:rFonts w:eastAsia="方正仿宋_GB2312"/>
          <w:kern w:val="0"/>
          <w:sz w:val="32"/>
          <w:szCs w:val="32"/>
        </w:rPr>
        <w:t>（四）具有经费审批权限的人员，应由本人亲自签字或审核，不能使用签章；特殊情况下需授权委托他人审批时，应填写授权委托书，明确授权人与被授权人的权利和责任。</w:t>
      </w:r>
    </w:p>
    <w:p w14:paraId="0C664AEE">
      <w:pPr>
        <w:spacing w:line="579" w:lineRule="exact"/>
        <w:ind w:firstLine="640" w:firstLineChars="200"/>
        <w:rPr>
          <w:rFonts w:eastAsia="方正仿宋_GB2312"/>
          <w:kern w:val="0"/>
          <w:sz w:val="32"/>
          <w:szCs w:val="32"/>
        </w:rPr>
      </w:pPr>
      <w:r>
        <w:rPr>
          <w:rFonts w:eastAsia="方正黑体_GBK"/>
          <w:kern w:val="0"/>
          <w:sz w:val="32"/>
          <w:szCs w:val="32"/>
        </w:rPr>
        <w:t>第二十三条</w:t>
      </w:r>
      <w:r>
        <w:rPr>
          <w:rFonts w:eastAsia="方正仿宋_GB2312"/>
          <w:kern w:val="0"/>
          <w:sz w:val="32"/>
          <w:szCs w:val="32"/>
        </w:rPr>
        <w:t xml:space="preserve"> </w:t>
      </w:r>
      <w:r>
        <w:rPr>
          <w:rFonts w:eastAsia="方正仿宋_GB2312"/>
          <w:sz w:val="32"/>
        </w:rPr>
        <w:t>为贯彻落实中央八项规定、六项禁令，进一步规范学校预算执行，健全财务报销制度，加强廉政风险防控，优化经费的使用和管理，提高报账的效率，遏制各种不合理的开支，有下列行为之一的，财务处应向纪检审计部门报告，依法依规追究相关部门和人员的责任：</w:t>
      </w:r>
    </w:p>
    <w:p w14:paraId="75E3B43D">
      <w:pPr>
        <w:spacing w:line="579" w:lineRule="exact"/>
        <w:ind w:firstLine="640" w:firstLineChars="200"/>
        <w:rPr>
          <w:rFonts w:eastAsia="方正仿宋_GB2312"/>
          <w:sz w:val="32"/>
        </w:rPr>
      </w:pPr>
      <w:r>
        <w:rPr>
          <w:rFonts w:eastAsia="方正仿宋_GB2312"/>
          <w:sz w:val="32"/>
        </w:rPr>
        <w:t>（一）违规报销虚假发票</w:t>
      </w:r>
    </w:p>
    <w:p w14:paraId="14981339">
      <w:pPr>
        <w:spacing w:line="579" w:lineRule="exact"/>
        <w:ind w:firstLine="640" w:firstLineChars="200"/>
        <w:rPr>
          <w:rFonts w:eastAsia="方正仿宋_GB2312"/>
          <w:sz w:val="32"/>
        </w:rPr>
      </w:pPr>
      <w:r>
        <w:rPr>
          <w:rFonts w:eastAsia="方正仿宋_GB2312"/>
          <w:sz w:val="32"/>
        </w:rPr>
        <w:t>报销虚假发票或不符合国家规定的发票，虚构业务，报销没有真实经济业务发生、从其他渠道取得的发票。</w:t>
      </w:r>
    </w:p>
    <w:p w14:paraId="07D31015">
      <w:pPr>
        <w:spacing w:line="579" w:lineRule="exact"/>
        <w:ind w:firstLine="640" w:firstLineChars="200"/>
        <w:rPr>
          <w:rFonts w:eastAsia="方正仿宋_GB2312"/>
          <w:sz w:val="32"/>
        </w:rPr>
      </w:pPr>
      <w:r>
        <w:rPr>
          <w:rFonts w:eastAsia="方正仿宋_GB2312"/>
          <w:sz w:val="32"/>
        </w:rPr>
        <w:t>（二）违规报销“三公”经费</w:t>
      </w:r>
    </w:p>
    <w:p w14:paraId="5BB5EA4D">
      <w:pPr>
        <w:spacing w:line="579" w:lineRule="exact"/>
        <w:ind w:firstLine="640" w:firstLineChars="200"/>
        <w:rPr>
          <w:rFonts w:eastAsia="方正仿宋_GB2312"/>
          <w:sz w:val="32"/>
        </w:rPr>
      </w:pPr>
      <w:r>
        <w:rPr>
          <w:rFonts w:eastAsia="方正仿宋_GB2312"/>
          <w:sz w:val="32"/>
        </w:rPr>
        <w:t>动用公款进行相互走访、送礼、宴请等活动，超过国家和学校规定的接待费标准，提供高档菜肴、高档酒水，扩大接待范围，增加接待项目，开支娱乐、健身等类别的支出；报销未经学校审批同意的出国出境费用，超标准报销因公出国经费。</w:t>
      </w:r>
    </w:p>
    <w:p w14:paraId="4609CA0C">
      <w:pPr>
        <w:spacing w:line="579" w:lineRule="exact"/>
        <w:ind w:firstLine="640" w:firstLineChars="200"/>
        <w:rPr>
          <w:rFonts w:eastAsia="方正仿宋_GB2312"/>
          <w:sz w:val="32"/>
        </w:rPr>
      </w:pPr>
      <w:r>
        <w:rPr>
          <w:rFonts w:eastAsia="方正仿宋_GB2312"/>
          <w:sz w:val="32"/>
        </w:rPr>
        <w:t>（三）违规报销差旅费</w:t>
      </w:r>
    </w:p>
    <w:p w14:paraId="35A11DC4">
      <w:pPr>
        <w:spacing w:line="579" w:lineRule="exact"/>
        <w:ind w:firstLine="640" w:firstLineChars="200"/>
        <w:rPr>
          <w:rFonts w:eastAsia="方正仿宋_GB2312"/>
          <w:sz w:val="32"/>
        </w:rPr>
      </w:pPr>
      <w:r>
        <w:rPr>
          <w:rFonts w:eastAsia="方正仿宋_GB2312"/>
          <w:sz w:val="32"/>
        </w:rPr>
        <w:t>虚构出差事由、虚列出差人员，进行无明确公务目的的差旅活动，进行异地部门、学校之间无实质内容的学习交流和考察调研，以各种名义变相公款旅游，超标准报销差旅费。</w:t>
      </w:r>
    </w:p>
    <w:p w14:paraId="2F2BA551">
      <w:pPr>
        <w:spacing w:line="579" w:lineRule="exact"/>
        <w:ind w:firstLine="640" w:firstLineChars="200"/>
        <w:rPr>
          <w:rFonts w:eastAsia="方正仿宋_GB2312"/>
          <w:sz w:val="32"/>
        </w:rPr>
      </w:pPr>
      <w:r>
        <w:rPr>
          <w:rFonts w:eastAsia="方正仿宋_GB2312"/>
          <w:sz w:val="32"/>
        </w:rPr>
        <w:t>（四）违规报销会议费、培训费</w:t>
      </w:r>
    </w:p>
    <w:p w14:paraId="6A5AC9F0">
      <w:pPr>
        <w:spacing w:line="579" w:lineRule="exact"/>
        <w:ind w:firstLine="640" w:firstLineChars="200"/>
        <w:rPr>
          <w:rFonts w:eastAsia="方正仿宋_GB2312"/>
          <w:sz w:val="32"/>
        </w:rPr>
      </w:pPr>
      <w:r>
        <w:rPr>
          <w:rFonts w:eastAsia="方正仿宋_GB2312"/>
          <w:sz w:val="32"/>
        </w:rPr>
        <w:t>在《关于严禁党政机关到风景名胜区开会的通知》中列示的地点举办各类会议/培训，借会议/培训的名义组织旅游、安排无关的参观考察或宴请，违规发放礼品、纪念品、地方土特产等；使用会议费、培训费购置电脑、复印机、打印机、传真机等固定资产以及其他无关费用；超过国家和学校规定的标准开支会议费、培训费。</w:t>
      </w:r>
    </w:p>
    <w:p w14:paraId="2724A304">
      <w:pPr>
        <w:spacing w:line="579" w:lineRule="exact"/>
        <w:ind w:firstLine="640" w:firstLineChars="200"/>
        <w:rPr>
          <w:rFonts w:eastAsia="方正仿宋_GB2312"/>
          <w:sz w:val="32"/>
        </w:rPr>
      </w:pPr>
      <w:r>
        <w:rPr>
          <w:rFonts w:eastAsia="方正仿宋_GB2312"/>
          <w:sz w:val="32"/>
        </w:rPr>
        <w:t>（五）违规发放人员经费</w:t>
      </w:r>
    </w:p>
    <w:p w14:paraId="7FFAE624">
      <w:pPr>
        <w:spacing w:line="579" w:lineRule="exact"/>
        <w:ind w:firstLine="640" w:firstLineChars="200"/>
        <w:rPr>
          <w:rFonts w:eastAsia="方正仿宋_GB2312"/>
          <w:sz w:val="32"/>
        </w:rPr>
      </w:pPr>
      <w:r>
        <w:rPr>
          <w:rFonts w:eastAsia="方正仿宋_GB2312"/>
          <w:sz w:val="32"/>
        </w:rPr>
        <w:t>虚构发放事由，虚报冒领、伪造领款人信息和签名，超标准发放人员经费。</w:t>
      </w:r>
    </w:p>
    <w:p w14:paraId="26ED83C8">
      <w:pPr>
        <w:spacing w:line="579" w:lineRule="exact"/>
        <w:ind w:firstLine="640" w:firstLineChars="200"/>
        <w:rPr>
          <w:rFonts w:eastAsia="方正仿宋_GB2312"/>
          <w:sz w:val="32"/>
        </w:rPr>
      </w:pPr>
      <w:r>
        <w:rPr>
          <w:rFonts w:eastAsia="方正仿宋_GB2312"/>
          <w:sz w:val="32"/>
        </w:rPr>
        <w:t>（六）违规发放津贴、补贴</w:t>
      </w:r>
    </w:p>
    <w:p w14:paraId="76AD278A">
      <w:pPr>
        <w:spacing w:line="579" w:lineRule="exact"/>
        <w:ind w:firstLine="640" w:firstLineChars="200"/>
        <w:rPr>
          <w:rFonts w:eastAsia="方正仿宋_GB2312"/>
          <w:sz w:val="32"/>
        </w:rPr>
      </w:pPr>
      <w:r>
        <w:rPr>
          <w:rFonts w:eastAsia="方正仿宋_GB2312"/>
          <w:sz w:val="32"/>
        </w:rPr>
        <w:t>巧立名目，违规新设项目发放津贴、补贴，或者发放国家已明令取消的津贴、补贴；超过规定标准、规范发放各类津贴、补贴，虚构事由发放津贴、补贴。</w:t>
      </w:r>
    </w:p>
    <w:p w14:paraId="5CC89017">
      <w:pPr>
        <w:spacing w:line="579" w:lineRule="exact"/>
        <w:ind w:firstLine="640" w:firstLineChars="200"/>
        <w:rPr>
          <w:rFonts w:eastAsia="方正仿宋_GB2312"/>
          <w:sz w:val="32"/>
        </w:rPr>
      </w:pPr>
      <w:r>
        <w:rPr>
          <w:rFonts w:eastAsia="方正仿宋_GB2312"/>
          <w:sz w:val="32"/>
        </w:rPr>
        <w:t>（七）违规报销个人和家庭支出</w:t>
      </w:r>
    </w:p>
    <w:p w14:paraId="44F9779A">
      <w:pPr>
        <w:spacing w:line="579" w:lineRule="exact"/>
        <w:ind w:firstLine="640" w:firstLineChars="200"/>
        <w:rPr>
          <w:rFonts w:eastAsia="方正仿宋_GB2312"/>
          <w:sz w:val="32"/>
        </w:rPr>
      </w:pPr>
      <w:r>
        <w:rPr>
          <w:rFonts w:eastAsia="方正仿宋_GB2312"/>
          <w:sz w:val="32"/>
        </w:rPr>
        <w:t>报销任何用于个人和家庭消费的支出，具体包括手机、生活用品、娱乐、健身、医疗、参观旅游等支出。</w:t>
      </w:r>
    </w:p>
    <w:p w14:paraId="6FF1572C">
      <w:pPr>
        <w:spacing w:line="579" w:lineRule="exact"/>
        <w:ind w:firstLine="640" w:firstLineChars="200"/>
        <w:rPr>
          <w:rFonts w:eastAsia="方正仿宋_GB2312"/>
          <w:sz w:val="32"/>
        </w:rPr>
      </w:pPr>
      <w:r>
        <w:rPr>
          <w:rFonts w:eastAsia="方正仿宋_GB2312"/>
          <w:sz w:val="32"/>
        </w:rPr>
        <w:t>（八）违规预付、转移资金</w:t>
      </w:r>
    </w:p>
    <w:p w14:paraId="682172C6">
      <w:pPr>
        <w:spacing w:line="579" w:lineRule="exact"/>
        <w:ind w:firstLine="640" w:firstLineChars="200"/>
        <w:rPr>
          <w:rFonts w:eastAsia="方正仿宋_GB2312"/>
          <w:sz w:val="32"/>
        </w:rPr>
      </w:pPr>
      <w:r>
        <w:rPr>
          <w:rFonts w:eastAsia="方正仿宋_GB2312"/>
          <w:sz w:val="32"/>
        </w:rPr>
        <w:t>以借款等方式，将经费预付至近期无计划发生经济业务的个人或校外单位，在没有发生实际业务的情况下，以测试费、合作费等名义将经费划拨到校内其他部门、课题组。</w:t>
      </w:r>
    </w:p>
    <w:p w14:paraId="01B5062E">
      <w:pPr>
        <w:spacing w:line="579" w:lineRule="exact"/>
        <w:ind w:firstLine="640" w:firstLineChars="200"/>
        <w:rPr>
          <w:rFonts w:eastAsia="方正仿宋_GB2312"/>
          <w:sz w:val="32"/>
        </w:rPr>
      </w:pPr>
      <w:r>
        <w:rPr>
          <w:rFonts w:eastAsia="方正仿宋_GB2312"/>
          <w:sz w:val="32"/>
        </w:rPr>
        <w:t>（九）其他违反本办法，或上级文件的行为。</w:t>
      </w:r>
    </w:p>
    <w:p w14:paraId="63C6B4CC">
      <w:pPr>
        <w:spacing w:line="579" w:lineRule="exact"/>
        <w:ind w:firstLine="640" w:firstLineChars="200"/>
        <w:rPr>
          <w:rFonts w:eastAsia="方正仿宋_GB2312"/>
          <w:kern w:val="0"/>
          <w:sz w:val="32"/>
          <w:szCs w:val="32"/>
        </w:rPr>
      </w:pPr>
      <w:r>
        <w:rPr>
          <w:rFonts w:eastAsia="方正黑体_GBK"/>
          <w:kern w:val="0"/>
          <w:sz w:val="32"/>
          <w:szCs w:val="32"/>
        </w:rPr>
        <w:t>第二十四条</w:t>
      </w:r>
      <w:r>
        <w:rPr>
          <w:rFonts w:eastAsia="方正仿宋_GB2312"/>
          <w:kern w:val="0"/>
          <w:sz w:val="32"/>
          <w:szCs w:val="32"/>
        </w:rPr>
        <w:t xml:space="preserve">  审计处按相关规定履行审计责任。</w:t>
      </w:r>
    </w:p>
    <w:p w14:paraId="50353560">
      <w:pPr>
        <w:spacing w:line="579" w:lineRule="exact"/>
        <w:jc w:val="center"/>
        <w:rPr>
          <w:rFonts w:eastAsia="方正黑体_GBK"/>
          <w:bCs/>
          <w:kern w:val="0"/>
          <w:sz w:val="32"/>
          <w:szCs w:val="32"/>
        </w:rPr>
      </w:pPr>
      <w:r>
        <w:rPr>
          <w:rFonts w:eastAsia="方正黑体_GBK"/>
          <w:bCs/>
          <w:kern w:val="0"/>
          <w:sz w:val="32"/>
          <w:szCs w:val="32"/>
        </w:rPr>
        <w:t>第</w:t>
      </w:r>
      <w:r>
        <w:rPr>
          <w:rFonts w:hint="eastAsia" w:eastAsia="方正黑体_GBK"/>
          <w:bCs/>
          <w:kern w:val="0"/>
          <w:sz w:val="32"/>
          <w:szCs w:val="32"/>
          <w:lang w:val="en-US" w:eastAsia="zh-CN"/>
        </w:rPr>
        <w:t>五</w:t>
      </w:r>
      <w:r>
        <w:rPr>
          <w:rFonts w:eastAsia="方正黑体_GBK"/>
          <w:bCs/>
          <w:kern w:val="0"/>
          <w:sz w:val="32"/>
          <w:szCs w:val="32"/>
        </w:rPr>
        <w:t>章  附则</w:t>
      </w:r>
    </w:p>
    <w:p w14:paraId="2536BC1A">
      <w:pPr>
        <w:spacing w:line="579" w:lineRule="exact"/>
        <w:ind w:firstLine="640" w:firstLineChars="200"/>
        <w:rPr>
          <w:rFonts w:eastAsia="方正仿宋_GB2312"/>
          <w:kern w:val="0"/>
          <w:sz w:val="32"/>
          <w:szCs w:val="32"/>
        </w:rPr>
      </w:pPr>
      <w:r>
        <w:rPr>
          <w:rFonts w:eastAsia="方正黑体_GBK"/>
          <w:kern w:val="0"/>
          <w:sz w:val="32"/>
          <w:szCs w:val="32"/>
        </w:rPr>
        <w:t>第二十五条</w:t>
      </w:r>
      <w:r>
        <w:rPr>
          <w:rFonts w:eastAsia="方正仿宋_GB2312"/>
          <w:kern w:val="0"/>
          <w:sz w:val="32"/>
          <w:szCs w:val="32"/>
        </w:rPr>
        <w:t xml:space="preserve">  本办法由学校授权财务处负责解释，并授权财务处另行制定</w:t>
      </w:r>
      <w:r>
        <w:rPr>
          <w:rFonts w:eastAsia="方正仿宋_GB2312"/>
          <w:sz w:val="32"/>
        </w:rPr>
        <w:t>报销指南，作为本办法的补充。</w:t>
      </w:r>
    </w:p>
    <w:p w14:paraId="27EA71FA">
      <w:pPr>
        <w:spacing w:line="579" w:lineRule="exact"/>
        <w:ind w:firstLine="640" w:firstLineChars="200"/>
        <w:rPr>
          <w:rFonts w:eastAsia="方正仿宋_GB2312"/>
          <w:kern w:val="0"/>
          <w:sz w:val="32"/>
          <w:szCs w:val="32"/>
        </w:rPr>
      </w:pPr>
      <w:r>
        <w:rPr>
          <w:rFonts w:eastAsia="方正黑体_GBK"/>
          <w:kern w:val="0"/>
          <w:sz w:val="32"/>
          <w:szCs w:val="32"/>
        </w:rPr>
        <w:t>第二十六条</w:t>
      </w:r>
      <w:r>
        <w:rPr>
          <w:rFonts w:eastAsia="方正仿宋_GB2312"/>
          <w:kern w:val="0"/>
          <w:sz w:val="32"/>
          <w:szCs w:val="32"/>
        </w:rPr>
        <w:t xml:space="preserve">  科研项目、教学项目、培训项目等专项经费，上级主管部门有专门经费管理规定的，从其规定。</w:t>
      </w:r>
    </w:p>
    <w:p w14:paraId="50478565">
      <w:pPr>
        <w:spacing w:line="579" w:lineRule="exact"/>
        <w:ind w:firstLine="640" w:firstLineChars="200"/>
        <w:rPr>
          <w:rFonts w:eastAsia="方正仿宋_GB2312"/>
          <w:kern w:val="0"/>
          <w:sz w:val="32"/>
          <w:szCs w:val="32"/>
        </w:rPr>
      </w:pPr>
      <w:r>
        <w:rPr>
          <w:rFonts w:eastAsia="方正黑体_GBK"/>
          <w:kern w:val="0"/>
          <w:sz w:val="32"/>
          <w:szCs w:val="32"/>
        </w:rPr>
        <w:t>第二十七条</w:t>
      </w:r>
      <w:r>
        <w:rPr>
          <w:rFonts w:eastAsia="方正仿宋_GB2312"/>
          <w:kern w:val="0"/>
          <w:sz w:val="32"/>
          <w:szCs w:val="32"/>
        </w:rPr>
        <w:t xml:space="preserve">  相关的预算批复、培训通知、公文、合同、文件等以电子形式传递的资料，可以作为报销相关凭证，但其真实性由经办人与经费负责人负责。</w:t>
      </w:r>
    </w:p>
    <w:p w14:paraId="7940C324">
      <w:pPr>
        <w:spacing w:line="579" w:lineRule="exact"/>
        <w:ind w:firstLine="640" w:firstLineChars="200"/>
        <w:rPr>
          <w:rFonts w:eastAsia="方正仿宋_GB2312"/>
          <w:kern w:val="0"/>
          <w:sz w:val="32"/>
          <w:szCs w:val="32"/>
        </w:rPr>
      </w:pPr>
      <w:r>
        <w:rPr>
          <w:rFonts w:eastAsia="方正黑体_GBK"/>
          <w:kern w:val="0"/>
          <w:sz w:val="32"/>
          <w:szCs w:val="32"/>
        </w:rPr>
        <w:t>第二十八条</w:t>
      </w:r>
      <w:r>
        <w:rPr>
          <w:rFonts w:eastAsia="方正仿宋_GB2312"/>
          <w:kern w:val="0"/>
          <w:sz w:val="32"/>
          <w:szCs w:val="32"/>
        </w:rPr>
        <w:t xml:space="preserve">  </w:t>
      </w:r>
      <w:r>
        <w:rPr>
          <w:rFonts w:eastAsia="方正仿宋_GB2312"/>
          <w:sz w:val="32"/>
        </w:rPr>
        <w:t>本办法根据国家及地方法律法规，并结合学校实际情况进行动态调整。</w:t>
      </w:r>
    </w:p>
    <w:p w14:paraId="75A1ADA0">
      <w:pPr>
        <w:tabs>
          <w:tab w:val="left" w:pos="0"/>
        </w:tabs>
        <w:adjustRightInd w:val="0"/>
        <w:snapToGrid w:val="0"/>
        <w:spacing w:line="579" w:lineRule="exact"/>
        <w:ind w:firstLine="640" w:firstLineChars="200"/>
        <w:textAlignment w:val="baseline"/>
        <w:rPr>
          <w:rFonts w:eastAsia="方正仿宋_GB2312"/>
          <w:sz w:val="32"/>
        </w:rPr>
      </w:pPr>
      <w:r>
        <w:rPr>
          <w:rFonts w:eastAsia="方正黑体_GBK"/>
          <w:kern w:val="0"/>
          <w:sz w:val="32"/>
          <w:szCs w:val="32"/>
        </w:rPr>
        <w:t>第二十九条</w:t>
      </w:r>
      <w:r>
        <w:rPr>
          <w:rFonts w:eastAsia="方正仿宋_GB2312"/>
          <w:sz w:val="32"/>
        </w:rPr>
        <w:t xml:space="preserve">  本办法自发布之日起施行，原《重庆化工职业学院经费报销管理办法》（渝化职院〔2024〕73号）同时废止，其他规定与本办法相抵触的，按本办法执行。</w:t>
      </w:r>
    </w:p>
    <w:p w14:paraId="1E41E91C">
      <w:pPr>
        <w:tabs>
          <w:tab w:val="left" w:pos="0"/>
        </w:tabs>
        <w:adjustRightInd w:val="0"/>
        <w:snapToGrid w:val="0"/>
        <w:spacing w:line="579" w:lineRule="exact"/>
        <w:textAlignment w:val="baseline"/>
        <w:rPr>
          <w:rFonts w:eastAsia="方正仿宋_GB2312"/>
          <w:sz w:val="32"/>
        </w:rPr>
      </w:pPr>
    </w:p>
    <w:p w14:paraId="10FFBC92">
      <w:pPr>
        <w:tabs>
          <w:tab w:val="left" w:pos="0"/>
        </w:tabs>
        <w:adjustRightInd w:val="0"/>
        <w:snapToGrid w:val="0"/>
        <w:spacing w:line="579" w:lineRule="exact"/>
        <w:ind w:firstLine="640" w:firstLineChars="200"/>
        <w:textAlignment w:val="baseline"/>
        <w:rPr>
          <w:rFonts w:eastAsia="方正仿宋_GB2312"/>
          <w:sz w:val="32"/>
        </w:rPr>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pPr>
      <w:r>
        <w:rPr>
          <w:rFonts w:eastAsia="方正仿宋_GB2312"/>
          <w:sz w:val="32"/>
        </w:rPr>
        <w:t>附件：未使用公务卡说明</w:t>
      </w:r>
    </w:p>
    <w:p w14:paraId="707350CB">
      <w:pPr>
        <w:spacing w:line="400" w:lineRule="exact"/>
        <w:rPr>
          <w:rFonts w:eastAsia="方正黑体_GBK"/>
          <w:sz w:val="32"/>
          <w:szCs w:val="32"/>
        </w:rPr>
      </w:pPr>
      <w:r>
        <w:rPr>
          <w:rFonts w:eastAsia="方正黑体_GBK"/>
          <w:sz w:val="32"/>
          <w:szCs w:val="32"/>
        </w:rPr>
        <w:t>附件</w:t>
      </w:r>
    </w:p>
    <w:p w14:paraId="3E837E10">
      <w:pPr>
        <w:tabs>
          <w:tab w:val="center" w:pos="7340"/>
        </w:tabs>
        <w:rPr>
          <w:rFonts w:eastAsia="方正小标宋_GBK"/>
          <w:sz w:val="40"/>
          <w:szCs w:val="40"/>
        </w:rPr>
      </w:pPr>
      <w:r>
        <w:rPr>
          <w:rFonts w:eastAsia="黑体"/>
          <w:sz w:val="24"/>
        </w:rPr>
        <w:drawing>
          <wp:anchor distT="0" distB="0" distL="114300" distR="114300" simplePos="0" relativeHeight="251659264" behindDoc="0" locked="0" layoutInCell="1" allowOverlap="1">
            <wp:simplePos x="0" y="0"/>
            <wp:positionH relativeFrom="column">
              <wp:posOffset>1770380</wp:posOffset>
            </wp:positionH>
            <wp:positionV relativeFrom="paragraph">
              <wp:posOffset>15240</wp:posOffset>
            </wp:positionV>
            <wp:extent cx="1715770" cy="333375"/>
            <wp:effectExtent l="0" t="0" r="0" b="8890"/>
            <wp:wrapNone/>
            <wp:docPr id="11" name="图片 2" descr="新校名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新校名LOGO"/>
                    <pic:cNvPicPr>
                      <a:picLocks noChangeAspect="1"/>
                    </pic:cNvPicPr>
                  </pic:nvPicPr>
                  <pic:blipFill>
                    <a:blip r:embed="rId6"/>
                    <a:stretch>
                      <a:fillRect/>
                    </a:stretch>
                  </pic:blipFill>
                  <pic:spPr>
                    <a:xfrm>
                      <a:off x="0" y="0"/>
                      <a:ext cx="1715770" cy="333375"/>
                    </a:xfrm>
                    <a:prstGeom prst="rect">
                      <a:avLst/>
                    </a:prstGeom>
                    <a:noFill/>
                    <a:ln>
                      <a:noFill/>
                    </a:ln>
                  </pic:spPr>
                </pic:pic>
              </a:graphicData>
            </a:graphic>
          </wp:anchor>
        </w:drawing>
      </w:r>
      <w:r>
        <w:rPr>
          <w:rFonts w:eastAsia="方正小标宋_GBK"/>
          <w:sz w:val="40"/>
          <w:szCs w:val="40"/>
        </w:rPr>
        <w:tab/>
      </w:r>
      <w:r>
        <w:rPr>
          <w:rFonts w:eastAsia="方正小标宋_GBK"/>
          <w:sz w:val="40"/>
          <w:szCs w:val="40"/>
        </w:rPr>
        <w:t>未使用公务卡说明</w:t>
      </w:r>
    </w:p>
    <w:p w14:paraId="7C03EC75">
      <w:pPr>
        <w:pStyle w:val="66"/>
        <w:rPr>
          <w:b/>
          <w:bCs/>
        </w:rPr>
      </w:pPr>
      <w:r>
        <w:rPr>
          <w:rFonts w:eastAsia="宋体"/>
          <w:b/>
          <w:bCs/>
        </w:rPr>
        <w:t>本人因以下原因，导致该笔业务无法使用公务卡支付，请审批：</w:t>
      </w:r>
    </w:p>
    <w:tbl>
      <w:tblPr>
        <w:tblStyle w:val="67"/>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047"/>
        <w:gridCol w:w="3363"/>
        <w:gridCol w:w="2351"/>
        <w:gridCol w:w="1878"/>
        <w:gridCol w:w="746"/>
        <w:gridCol w:w="2393"/>
      </w:tblGrid>
      <w:tr w14:paraId="7CE7F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7" w:hRule="atLeast"/>
          <w:jc w:val="center"/>
        </w:trPr>
        <w:tc>
          <w:tcPr>
            <w:tcW w:w="801" w:type="pct"/>
            <w:tcBorders>
              <w:top w:val="single" w:color="000000" w:sz="10" w:space="0"/>
              <w:left w:val="single" w:color="000000" w:sz="10" w:space="0"/>
            </w:tcBorders>
            <w:vAlign w:val="center"/>
          </w:tcPr>
          <w:p w14:paraId="752104CA">
            <w:pPr>
              <w:pStyle w:val="66"/>
              <w:jc w:val="center"/>
            </w:pPr>
            <w:r>
              <w:rPr>
                <w:rFonts w:eastAsia="宋体"/>
                <w:spacing w:val="9"/>
                <w14:textOutline w14:w="3263" w14:cap="sq" w14:cmpd="sng" w14:algn="ctr">
                  <w14:solidFill>
                    <w14:srgbClr w14:val="000000"/>
                  </w14:solidFill>
                  <w14:prstDash w14:val="solid"/>
                  <w14:bevel/>
                </w14:textOutline>
              </w:rPr>
              <w:t>经办人员</w:t>
            </w:r>
          </w:p>
        </w:tc>
        <w:tc>
          <w:tcPr>
            <w:tcW w:w="1316" w:type="pct"/>
            <w:tcBorders>
              <w:top w:val="single" w:color="000000" w:sz="10" w:space="0"/>
            </w:tcBorders>
            <w:vAlign w:val="center"/>
          </w:tcPr>
          <w:p w14:paraId="1771808A">
            <w:pPr>
              <w:pStyle w:val="66"/>
              <w:jc w:val="center"/>
            </w:pPr>
            <w:r>
              <w:rPr>
                <w:rFonts w:eastAsia="宋体"/>
                <w:spacing w:val="10"/>
                <w14:textOutline w14:w="3263" w14:cap="sq" w14:cmpd="sng" w14:algn="ctr">
                  <w14:solidFill>
                    <w14:srgbClr w14:val="000000"/>
                  </w14:solidFill>
                  <w14:prstDash w14:val="solid"/>
                  <w14:bevel/>
                </w14:textOutline>
              </w:rPr>
              <w:t>支付时间</w:t>
            </w:r>
          </w:p>
        </w:tc>
        <w:tc>
          <w:tcPr>
            <w:tcW w:w="920" w:type="pct"/>
            <w:tcBorders>
              <w:top w:val="single" w:color="000000" w:sz="10" w:space="0"/>
            </w:tcBorders>
            <w:vAlign w:val="center"/>
          </w:tcPr>
          <w:p w14:paraId="3FF0E552">
            <w:pPr>
              <w:pStyle w:val="66"/>
              <w:jc w:val="center"/>
            </w:pPr>
            <w:r>
              <w:rPr>
                <w:rFonts w:eastAsia="宋体"/>
                <w:spacing w:val="10"/>
                <w14:textOutline w14:w="3263" w14:cap="sq" w14:cmpd="sng" w14:algn="ctr">
                  <w14:solidFill>
                    <w14:srgbClr w14:val="000000"/>
                  </w14:solidFill>
                  <w14:prstDash w14:val="solid"/>
                  <w14:bevel/>
                </w14:textOutline>
              </w:rPr>
              <w:t>支付地点</w:t>
            </w:r>
          </w:p>
        </w:tc>
        <w:tc>
          <w:tcPr>
            <w:tcW w:w="1027" w:type="pct"/>
            <w:gridSpan w:val="2"/>
            <w:tcBorders>
              <w:top w:val="single" w:color="000000" w:sz="10" w:space="0"/>
            </w:tcBorders>
            <w:vAlign w:val="center"/>
          </w:tcPr>
          <w:p w14:paraId="11618EB7">
            <w:pPr>
              <w:pStyle w:val="66"/>
              <w:jc w:val="center"/>
            </w:pPr>
            <w:r>
              <w:rPr>
                <w:rFonts w:eastAsia="宋体"/>
                <w:spacing w:val="10"/>
                <w14:textOutline w14:w="3263" w14:cap="sq" w14:cmpd="sng" w14:algn="ctr">
                  <w14:solidFill>
                    <w14:srgbClr w14:val="000000"/>
                  </w14:solidFill>
                  <w14:prstDash w14:val="solid"/>
                  <w14:bevel/>
                </w14:textOutline>
              </w:rPr>
              <w:t>支付事由</w:t>
            </w:r>
          </w:p>
        </w:tc>
        <w:tc>
          <w:tcPr>
            <w:tcW w:w="933" w:type="pct"/>
            <w:tcBorders>
              <w:top w:val="single" w:color="000000" w:sz="10" w:space="0"/>
              <w:right w:val="single" w:color="000000" w:sz="10" w:space="0"/>
            </w:tcBorders>
            <w:vAlign w:val="center"/>
          </w:tcPr>
          <w:p w14:paraId="12DDCDB5">
            <w:pPr>
              <w:pStyle w:val="66"/>
              <w:jc w:val="center"/>
            </w:pPr>
            <w:r>
              <w:rPr>
                <w:rFonts w:eastAsia="宋体"/>
                <w:spacing w:val="10"/>
                <w14:textOutline w14:w="3263" w14:cap="sq" w14:cmpd="sng" w14:algn="ctr">
                  <w14:solidFill>
                    <w14:srgbClr w14:val="000000"/>
                  </w14:solidFill>
                  <w14:prstDash w14:val="solid"/>
                  <w14:bevel/>
                </w14:textOutline>
              </w:rPr>
              <w:t>支付金额</w:t>
            </w:r>
          </w:p>
        </w:tc>
      </w:tr>
      <w:tr w14:paraId="7380E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01" w:type="pct"/>
            <w:tcBorders>
              <w:left w:val="single" w:color="000000" w:sz="10" w:space="0"/>
            </w:tcBorders>
            <w:vAlign w:val="center"/>
          </w:tcPr>
          <w:p w14:paraId="7A1C5A7A">
            <w:pPr>
              <w:spacing w:line="360" w:lineRule="auto"/>
            </w:pPr>
          </w:p>
        </w:tc>
        <w:tc>
          <w:tcPr>
            <w:tcW w:w="1316" w:type="pct"/>
            <w:vAlign w:val="center"/>
          </w:tcPr>
          <w:p w14:paraId="6DB6CDE8">
            <w:pPr>
              <w:spacing w:line="360" w:lineRule="auto"/>
            </w:pPr>
          </w:p>
        </w:tc>
        <w:tc>
          <w:tcPr>
            <w:tcW w:w="920" w:type="pct"/>
            <w:vAlign w:val="center"/>
          </w:tcPr>
          <w:p w14:paraId="76AC86E3">
            <w:pPr>
              <w:spacing w:line="360" w:lineRule="auto"/>
            </w:pPr>
          </w:p>
        </w:tc>
        <w:tc>
          <w:tcPr>
            <w:tcW w:w="1027" w:type="pct"/>
            <w:gridSpan w:val="2"/>
            <w:vAlign w:val="center"/>
          </w:tcPr>
          <w:p w14:paraId="66935417">
            <w:pPr>
              <w:spacing w:line="360" w:lineRule="auto"/>
            </w:pPr>
          </w:p>
        </w:tc>
        <w:tc>
          <w:tcPr>
            <w:tcW w:w="933" w:type="pct"/>
            <w:tcBorders>
              <w:right w:val="single" w:color="000000" w:sz="10" w:space="0"/>
            </w:tcBorders>
            <w:vAlign w:val="center"/>
          </w:tcPr>
          <w:p w14:paraId="3F0F42AC">
            <w:pPr>
              <w:spacing w:line="360" w:lineRule="auto"/>
            </w:pPr>
          </w:p>
        </w:tc>
      </w:tr>
      <w:tr w14:paraId="734C7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01" w:type="pct"/>
            <w:tcBorders>
              <w:left w:val="single" w:color="000000" w:sz="10" w:space="0"/>
            </w:tcBorders>
            <w:vAlign w:val="center"/>
          </w:tcPr>
          <w:p w14:paraId="0F7FE81B">
            <w:pPr>
              <w:spacing w:line="360" w:lineRule="auto"/>
            </w:pPr>
          </w:p>
        </w:tc>
        <w:tc>
          <w:tcPr>
            <w:tcW w:w="1316" w:type="pct"/>
            <w:vAlign w:val="center"/>
          </w:tcPr>
          <w:p w14:paraId="6EF66341">
            <w:pPr>
              <w:spacing w:line="360" w:lineRule="auto"/>
            </w:pPr>
          </w:p>
        </w:tc>
        <w:tc>
          <w:tcPr>
            <w:tcW w:w="920" w:type="pct"/>
            <w:vAlign w:val="center"/>
          </w:tcPr>
          <w:p w14:paraId="32ABDEC1">
            <w:pPr>
              <w:spacing w:line="360" w:lineRule="auto"/>
            </w:pPr>
          </w:p>
        </w:tc>
        <w:tc>
          <w:tcPr>
            <w:tcW w:w="1027" w:type="pct"/>
            <w:gridSpan w:val="2"/>
            <w:vAlign w:val="center"/>
          </w:tcPr>
          <w:p w14:paraId="1FBBE825">
            <w:pPr>
              <w:spacing w:line="360" w:lineRule="auto"/>
            </w:pPr>
          </w:p>
        </w:tc>
        <w:tc>
          <w:tcPr>
            <w:tcW w:w="933" w:type="pct"/>
            <w:tcBorders>
              <w:right w:val="single" w:color="000000" w:sz="10" w:space="0"/>
            </w:tcBorders>
            <w:vAlign w:val="center"/>
          </w:tcPr>
          <w:p w14:paraId="6A3246AB">
            <w:pPr>
              <w:spacing w:line="360" w:lineRule="auto"/>
            </w:pPr>
          </w:p>
        </w:tc>
      </w:tr>
      <w:tr w14:paraId="2177C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01" w:type="pct"/>
            <w:tcBorders>
              <w:left w:val="single" w:color="000000" w:sz="10" w:space="0"/>
            </w:tcBorders>
            <w:vAlign w:val="center"/>
          </w:tcPr>
          <w:p w14:paraId="28E2B795">
            <w:pPr>
              <w:spacing w:line="360" w:lineRule="auto"/>
            </w:pPr>
          </w:p>
        </w:tc>
        <w:tc>
          <w:tcPr>
            <w:tcW w:w="1316" w:type="pct"/>
            <w:vAlign w:val="center"/>
          </w:tcPr>
          <w:p w14:paraId="1A3D83DD">
            <w:pPr>
              <w:spacing w:line="360" w:lineRule="auto"/>
            </w:pPr>
          </w:p>
        </w:tc>
        <w:tc>
          <w:tcPr>
            <w:tcW w:w="920" w:type="pct"/>
            <w:vAlign w:val="center"/>
          </w:tcPr>
          <w:p w14:paraId="71CAA68A">
            <w:pPr>
              <w:spacing w:line="360" w:lineRule="auto"/>
            </w:pPr>
          </w:p>
        </w:tc>
        <w:tc>
          <w:tcPr>
            <w:tcW w:w="1027" w:type="pct"/>
            <w:gridSpan w:val="2"/>
            <w:vAlign w:val="center"/>
          </w:tcPr>
          <w:p w14:paraId="3FFAB7A2">
            <w:pPr>
              <w:spacing w:line="360" w:lineRule="auto"/>
            </w:pPr>
          </w:p>
        </w:tc>
        <w:tc>
          <w:tcPr>
            <w:tcW w:w="933" w:type="pct"/>
            <w:tcBorders>
              <w:right w:val="single" w:color="000000" w:sz="10" w:space="0"/>
            </w:tcBorders>
            <w:vAlign w:val="center"/>
          </w:tcPr>
          <w:p w14:paraId="6198663E">
            <w:pPr>
              <w:spacing w:line="360" w:lineRule="auto"/>
            </w:pPr>
          </w:p>
        </w:tc>
      </w:tr>
      <w:tr w14:paraId="21B2F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01" w:type="pct"/>
            <w:tcBorders>
              <w:left w:val="single" w:color="000000" w:sz="10" w:space="0"/>
            </w:tcBorders>
            <w:vAlign w:val="center"/>
          </w:tcPr>
          <w:p w14:paraId="06C72A53">
            <w:pPr>
              <w:spacing w:line="360" w:lineRule="auto"/>
            </w:pPr>
          </w:p>
        </w:tc>
        <w:tc>
          <w:tcPr>
            <w:tcW w:w="1316" w:type="pct"/>
            <w:vAlign w:val="center"/>
          </w:tcPr>
          <w:p w14:paraId="5A67D75D">
            <w:pPr>
              <w:spacing w:line="360" w:lineRule="auto"/>
            </w:pPr>
          </w:p>
        </w:tc>
        <w:tc>
          <w:tcPr>
            <w:tcW w:w="920" w:type="pct"/>
            <w:vAlign w:val="center"/>
          </w:tcPr>
          <w:p w14:paraId="1BA115F2">
            <w:pPr>
              <w:spacing w:line="360" w:lineRule="auto"/>
            </w:pPr>
          </w:p>
        </w:tc>
        <w:tc>
          <w:tcPr>
            <w:tcW w:w="1027" w:type="pct"/>
            <w:gridSpan w:val="2"/>
            <w:vAlign w:val="center"/>
          </w:tcPr>
          <w:p w14:paraId="43ED233E">
            <w:pPr>
              <w:spacing w:line="360" w:lineRule="auto"/>
            </w:pPr>
          </w:p>
        </w:tc>
        <w:tc>
          <w:tcPr>
            <w:tcW w:w="933" w:type="pct"/>
            <w:tcBorders>
              <w:right w:val="single" w:color="000000" w:sz="10" w:space="0"/>
            </w:tcBorders>
            <w:vAlign w:val="center"/>
          </w:tcPr>
          <w:p w14:paraId="13917CD8">
            <w:pPr>
              <w:spacing w:line="360" w:lineRule="auto"/>
            </w:pPr>
          </w:p>
        </w:tc>
      </w:tr>
      <w:tr w14:paraId="08BC8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5000" w:type="pct"/>
            <w:gridSpan w:val="6"/>
            <w:tcBorders>
              <w:left w:val="single" w:color="000000" w:sz="10" w:space="0"/>
              <w:right w:val="single" w:color="000000" w:sz="10" w:space="0"/>
            </w:tcBorders>
            <w:vAlign w:val="center"/>
          </w:tcPr>
          <w:p w14:paraId="27440F50">
            <w:pPr>
              <w:pStyle w:val="66"/>
              <w:spacing w:line="360" w:lineRule="auto"/>
            </w:pPr>
            <w:r>
              <w:rPr>
                <w:rFonts w:eastAsia="宋体"/>
                <w:spacing w:val="9"/>
                <w14:textOutline w14:w="3263" w14:cap="sq" w14:cmpd="sng" w14:algn="ctr">
                  <w14:solidFill>
                    <w14:srgbClr w14:val="000000"/>
                  </w14:solidFill>
                  <w14:prstDash w14:val="solid"/>
                  <w14:bevel/>
                </w14:textOutline>
              </w:rPr>
              <w:t>未使用公务卡原因：</w:t>
            </w:r>
          </w:p>
        </w:tc>
      </w:tr>
      <w:tr w14:paraId="52470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01" w:type="pct"/>
            <w:tcBorders>
              <w:left w:val="single" w:color="000000" w:sz="10" w:space="0"/>
            </w:tcBorders>
            <w:vAlign w:val="center"/>
          </w:tcPr>
          <w:p w14:paraId="2F7FCA2E">
            <w:pPr>
              <w:pStyle w:val="66"/>
              <w:spacing w:line="360" w:lineRule="auto"/>
            </w:pPr>
            <w:r>
              <w:rPr>
                <w:spacing w:val="7"/>
                <w:sz w:val="32"/>
                <w:szCs w:val="32"/>
              </w:rPr>
              <w:t>□</w:t>
            </w:r>
            <w:r>
              <w:rPr>
                <w:rFonts w:eastAsia="宋体"/>
                <w:spacing w:val="7"/>
              </w:rPr>
              <w:t>无法使用公务卡</w:t>
            </w:r>
          </w:p>
        </w:tc>
        <w:tc>
          <w:tcPr>
            <w:tcW w:w="4198" w:type="pct"/>
            <w:gridSpan w:val="5"/>
            <w:tcBorders>
              <w:right w:val="single" w:color="000000" w:sz="10" w:space="0"/>
            </w:tcBorders>
            <w:vAlign w:val="center"/>
          </w:tcPr>
          <w:p w14:paraId="2A640FA5">
            <w:pPr>
              <w:pStyle w:val="66"/>
              <w:spacing w:line="360" w:lineRule="auto"/>
            </w:pPr>
            <w:r>
              <w:rPr>
                <w:rFonts w:eastAsia="宋体"/>
                <w:spacing w:val="3"/>
              </w:rPr>
              <w:t>原因：</w:t>
            </w:r>
          </w:p>
        </w:tc>
      </w:tr>
      <w:tr w14:paraId="66936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01" w:type="pct"/>
            <w:tcBorders>
              <w:left w:val="single" w:color="000000" w:sz="10" w:space="0"/>
            </w:tcBorders>
            <w:vAlign w:val="center"/>
          </w:tcPr>
          <w:p w14:paraId="1E5A93DF">
            <w:pPr>
              <w:pStyle w:val="66"/>
              <w:spacing w:line="360" w:lineRule="auto"/>
            </w:pPr>
            <w:r>
              <w:rPr>
                <w:spacing w:val="7"/>
                <w:sz w:val="32"/>
                <w:szCs w:val="32"/>
              </w:rPr>
              <w:t>□</w:t>
            </w:r>
            <w:r>
              <w:rPr>
                <w:rFonts w:eastAsia="宋体"/>
                <w:spacing w:val="7"/>
              </w:rPr>
              <w:t>尚未办理公务卡</w:t>
            </w:r>
          </w:p>
        </w:tc>
        <w:tc>
          <w:tcPr>
            <w:tcW w:w="4198" w:type="pct"/>
            <w:gridSpan w:val="5"/>
            <w:tcBorders>
              <w:right w:val="single" w:color="000000" w:sz="10" w:space="0"/>
            </w:tcBorders>
            <w:vAlign w:val="center"/>
          </w:tcPr>
          <w:p w14:paraId="7CEEC0E3">
            <w:pPr>
              <w:pStyle w:val="66"/>
              <w:spacing w:line="360" w:lineRule="auto"/>
              <w:rPr>
                <w:rFonts w:eastAsia="宋体"/>
              </w:rPr>
            </w:pPr>
            <w:r>
              <w:rPr>
                <w:rFonts w:eastAsia="宋体"/>
                <w:spacing w:val="6"/>
              </w:rPr>
              <w:t>未办原因：</w:t>
            </w:r>
            <w:r>
              <w:rPr>
                <w:spacing w:val="2"/>
              </w:rPr>
              <w:t xml:space="preserve">                    </w:t>
            </w:r>
            <w:r>
              <w:rPr>
                <w:spacing w:val="1"/>
              </w:rPr>
              <w:t xml:space="preserve">                              </w:t>
            </w:r>
            <w:r>
              <w:rPr>
                <w:rFonts w:eastAsia="宋体"/>
                <w:b/>
                <w:bCs/>
                <w:spacing w:val="6"/>
                <w14:shadow w14:blurRad="50800" w14:dist="38100" w14:dir="2700000" w14:sx="100000" w14:sy="100000" w14:kx="0" w14:ky="0" w14:algn="tl">
                  <w14:srgbClr w14:val="000000">
                    <w14:alpha w14:val="60000"/>
                  </w14:srgbClr>
                </w14:shadow>
              </w:rPr>
              <w:t>何时办理</w:t>
            </w:r>
            <w:r>
              <w:rPr>
                <w:rFonts w:eastAsia="宋体"/>
                <w:spacing w:val="-49"/>
              </w:rPr>
              <w:t>：</w:t>
            </w:r>
          </w:p>
        </w:tc>
      </w:tr>
      <w:tr w14:paraId="57519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2" w:hRule="atLeast"/>
          <w:jc w:val="center"/>
        </w:trPr>
        <w:tc>
          <w:tcPr>
            <w:tcW w:w="3772" w:type="pct"/>
            <w:gridSpan w:val="4"/>
            <w:tcBorders>
              <w:left w:val="single" w:color="000000" w:sz="10" w:space="0"/>
              <w:bottom w:val="single" w:color="000000" w:sz="10" w:space="0"/>
            </w:tcBorders>
            <w:vAlign w:val="center"/>
          </w:tcPr>
          <w:p w14:paraId="4AF0CA72">
            <w:pPr>
              <w:pStyle w:val="66"/>
              <w:rPr>
                <w:sz w:val="22"/>
                <w:szCs w:val="22"/>
              </w:rPr>
            </w:pPr>
            <w:r>
              <w:rPr>
                <w:rFonts w:eastAsia="宋体"/>
                <w:spacing w:val="8"/>
                <w:sz w:val="22"/>
                <w:szCs w:val="22"/>
                <w14:textOutline w14:w="4165" w14:cap="sq" w14:cmpd="sng" w14:algn="ctr">
                  <w14:solidFill>
                    <w14:srgbClr w14:val="000000"/>
                  </w14:solidFill>
                  <w14:prstDash w14:val="solid"/>
                  <w14:bevel/>
                </w14:textOutline>
              </w:rPr>
              <w:t>承诺并签字：</w:t>
            </w:r>
          </w:p>
          <w:p w14:paraId="2B327EAE"/>
          <w:p w14:paraId="2ED1FAF2">
            <w:pPr>
              <w:pStyle w:val="66"/>
              <w:ind w:right="159" w:firstLine="1062"/>
              <w:rPr>
                <w:sz w:val="22"/>
                <w:szCs w:val="22"/>
              </w:rPr>
            </w:pPr>
            <w:r>
              <w:rPr>
                <w:rFonts w:eastAsia="宋体"/>
                <w:spacing w:val="12"/>
                <w:sz w:val="22"/>
                <w:szCs w:val="22"/>
                <w14:textOutline w14:w="4165" w14:cap="sq" w14:cmpd="sng" w14:algn="ctr">
                  <w14:solidFill>
                    <w14:srgbClr w14:val="000000"/>
                  </w14:solidFill>
                  <w14:prstDash w14:val="solid"/>
                  <w14:bevel/>
                </w14:textOutline>
              </w:rPr>
              <w:t>本人已仔细审核、确认以上经济事项及事由的真实性、合法性及完</w:t>
            </w:r>
            <w:r>
              <w:rPr>
                <w:rFonts w:eastAsia="宋体"/>
                <w:spacing w:val="11"/>
                <w:sz w:val="22"/>
                <w:szCs w:val="22"/>
                <w14:textOutline w14:w="4165" w14:cap="sq" w14:cmpd="sng" w14:algn="ctr">
                  <w14:solidFill>
                    <w14:srgbClr w14:val="000000"/>
                  </w14:solidFill>
                  <w14:prstDash w14:val="solid"/>
                  <w14:bevel/>
                </w14:textOutline>
              </w:rPr>
              <w:t>整性，并对今后造成的一切</w:t>
            </w:r>
            <w:r>
              <w:rPr>
                <w:sz w:val="22"/>
                <w:szCs w:val="22"/>
              </w:rPr>
              <w:t xml:space="preserve"> </w:t>
            </w:r>
            <w:r>
              <w:rPr>
                <w:rFonts w:eastAsia="宋体"/>
                <w:spacing w:val="10"/>
                <w:sz w:val="22"/>
                <w:szCs w:val="22"/>
                <w14:textOutline w14:w="4165" w14:cap="sq" w14:cmpd="sng" w14:algn="ctr">
                  <w14:solidFill>
                    <w14:srgbClr w14:val="000000"/>
                  </w14:solidFill>
                  <w14:prstDash w14:val="solid"/>
                  <w14:bevel/>
                </w14:textOutline>
              </w:rPr>
              <w:t>后果承担法律、经济、审计责任！</w:t>
            </w:r>
          </w:p>
          <w:p w14:paraId="03C5B314"/>
          <w:p w14:paraId="5BE3812D">
            <w:pPr>
              <w:pStyle w:val="66"/>
              <w:rPr>
                <w:sz w:val="22"/>
                <w:szCs w:val="22"/>
              </w:rPr>
            </w:pPr>
            <w:r>
              <w:rPr>
                <w:rFonts w:eastAsia="宋体"/>
                <w:spacing w:val="7"/>
                <w:sz w:val="22"/>
                <w:szCs w:val="22"/>
                <w14:textOutline w14:w="4165" w14:cap="sq" w14:cmpd="sng" w14:algn="ctr">
                  <w14:solidFill>
                    <w14:srgbClr w14:val="000000"/>
                  </w14:solidFill>
                  <w14:prstDash w14:val="solid"/>
                  <w14:bevel/>
                </w14:textOutline>
              </w:rPr>
              <w:t>本人签字：</w:t>
            </w:r>
          </w:p>
          <w:p w14:paraId="6D553D56">
            <w:pPr>
              <w:pStyle w:val="66"/>
              <w:rPr>
                <w:sz w:val="22"/>
                <w:szCs w:val="22"/>
              </w:rPr>
            </w:pPr>
            <w:r>
              <w:rPr>
                <w:rFonts w:eastAsia="宋体"/>
                <w:spacing w:val="-6"/>
                <w:sz w:val="22"/>
                <w:szCs w:val="22"/>
                <w14:textOutline w14:w="4165" w14:cap="sq" w14:cmpd="sng" w14:algn="ctr">
                  <w14:solidFill>
                    <w14:srgbClr w14:val="000000"/>
                  </w14:solidFill>
                  <w14:prstDash w14:val="solid"/>
                  <w14:bevel/>
                </w14:textOutline>
              </w:rPr>
              <w:t>日期：</w:t>
            </w:r>
            <w:r>
              <w:rPr>
                <w:spacing w:val="5"/>
                <w:sz w:val="22"/>
                <w:szCs w:val="22"/>
              </w:rPr>
              <w:t xml:space="preserve">         </w:t>
            </w:r>
            <w:r>
              <w:rPr>
                <w:rFonts w:eastAsia="宋体"/>
                <w:spacing w:val="-6"/>
                <w:sz w:val="22"/>
                <w:szCs w:val="22"/>
                <w14:textOutline w14:w="4165" w14:cap="sq" w14:cmpd="sng" w14:algn="ctr">
                  <w14:solidFill>
                    <w14:srgbClr w14:val="000000"/>
                  </w14:solidFill>
                  <w14:prstDash w14:val="solid"/>
                  <w14:bevel/>
                </w14:textOutline>
              </w:rPr>
              <w:t>年</w:t>
            </w:r>
            <w:r>
              <w:rPr>
                <w:spacing w:val="12"/>
                <w:sz w:val="22"/>
                <w:szCs w:val="22"/>
              </w:rPr>
              <w:t xml:space="preserve">    </w:t>
            </w:r>
            <w:r>
              <w:rPr>
                <w:rFonts w:eastAsia="宋体"/>
                <w:spacing w:val="-6"/>
                <w:sz w:val="22"/>
                <w:szCs w:val="22"/>
                <w14:textOutline w14:w="4165" w14:cap="sq" w14:cmpd="sng" w14:algn="ctr">
                  <w14:solidFill>
                    <w14:srgbClr w14:val="000000"/>
                  </w14:solidFill>
                  <w14:prstDash w14:val="solid"/>
                  <w14:bevel/>
                </w14:textOutline>
              </w:rPr>
              <w:t>月</w:t>
            </w:r>
            <w:r>
              <w:rPr>
                <w:spacing w:val="21"/>
                <w:sz w:val="22"/>
                <w:szCs w:val="22"/>
              </w:rPr>
              <w:t xml:space="preserve">    </w:t>
            </w:r>
            <w:r>
              <w:rPr>
                <w:rFonts w:eastAsia="宋体"/>
                <w:spacing w:val="-6"/>
                <w:sz w:val="22"/>
                <w:szCs w:val="22"/>
                <w14:textOutline w14:w="4165" w14:cap="sq" w14:cmpd="sng" w14:algn="ctr">
                  <w14:solidFill>
                    <w14:srgbClr w14:val="000000"/>
                  </w14:solidFill>
                  <w14:prstDash w14:val="solid"/>
                  <w14:bevel/>
                </w14:textOutline>
              </w:rPr>
              <w:t>日</w:t>
            </w:r>
          </w:p>
        </w:tc>
        <w:tc>
          <w:tcPr>
            <w:tcW w:w="1227" w:type="pct"/>
            <w:gridSpan w:val="2"/>
            <w:tcBorders>
              <w:bottom w:val="single" w:color="000000" w:sz="10" w:space="0"/>
              <w:right w:val="single" w:color="000000" w:sz="10" w:space="0"/>
            </w:tcBorders>
          </w:tcPr>
          <w:p w14:paraId="5C796991">
            <w:pPr>
              <w:pStyle w:val="66"/>
              <w:rPr>
                <w:rFonts w:eastAsia="宋体"/>
                <w:sz w:val="22"/>
                <w:szCs w:val="22"/>
              </w:rPr>
            </w:pPr>
            <w:r>
              <w:rPr>
                <w:rFonts w:eastAsia="宋体"/>
                <w:b/>
                <w:bCs/>
                <w:sz w:val="22"/>
                <w:szCs w:val="22"/>
              </w:rPr>
              <w:t>*审批人</w:t>
            </w:r>
            <w:r>
              <w:rPr>
                <w:rFonts w:eastAsia="宋体"/>
                <w:sz w:val="22"/>
                <w:szCs w:val="22"/>
              </w:rPr>
              <w:t>签字：</w:t>
            </w:r>
          </w:p>
        </w:tc>
      </w:tr>
    </w:tbl>
    <w:p w14:paraId="3E6F0136">
      <w:pPr>
        <w:tabs>
          <w:tab w:val="left" w:pos="0"/>
        </w:tabs>
        <w:adjustRightInd w:val="0"/>
        <w:snapToGrid w:val="0"/>
        <w:textAlignment w:val="baseline"/>
        <w:rPr>
          <w:rFonts w:eastAsia="方正仿宋_GB2312"/>
          <w:sz w:val="22"/>
          <w:szCs w:val="22"/>
        </w:rPr>
      </w:pPr>
      <w:bookmarkStart w:id="1" w:name="_GoBack"/>
      <w:bookmarkEnd w:id="1"/>
    </w:p>
    <w:tbl>
      <w:tblPr>
        <w:tblStyle w:val="18"/>
        <w:tblpPr w:leftFromText="180" w:rightFromText="180" w:vertAnchor="text" w:horzAnchor="margin" w:tblpY="21"/>
        <w:tblW w:w="13089"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27"/>
        <w:gridCol w:w="6662"/>
      </w:tblGrid>
      <w:tr w14:paraId="286DB69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6427" w:type="dxa"/>
            <w:tcBorders>
              <w:top w:val="single" w:color="auto" w:sz="4" w:space="0"/>
            </w:tcBorders>
            <w:vAlign w:val="center"/>
          </w:tcPr>
          <w:p w14:paraId="2AE8B063">
            <w:pPr>
              <w:spacing w:line="400" w:lineRule="exact"/>
              <w:ind w:firstLine="280" w:firstLineChars="100"/>
              <w:rPr>
                <w:rFonts w:eastAsia="方正仿宋_GBK"/>
                <w:sz w:val="28"/>
                <w:szCs w:val="28"/>
              </w:rPr>
            </w:pPr>
            <w:r>
              <w:rPr>
                <w:rFonts w:eastAsia="方正仿宋_GBK"/>
                <w:sz w:val="28"/>
                <w:szCs w:val="28"/>
              </w:rPr>
              <w:t>重庆化工职业学院党政办公室</w:t>
            </w:r>
          </w:p>
        </w:tc>
        <w:tc>
          <w:tcPr>
            <w:tcW w:w="6662" w:type="dxa"/>
            <w:tcBorders>
              <w:top w:val="single" w:color="auto" w:sz="4" w:space="0"/>
            </w:tcBorders>
            <w:vAlign w:val="center"/>
          </w:tcPr>
          <w:p w14:paraId="04892200">
            <w:pPr>
              <w:spacing w:line="400" w:lineRule="exact"/>
              <w:ind w:right="276"/>
              <w:jc w:val="right"/>
              <w:rPr>
                <w:rFonts w:eastAsia="方正仿宋_GBK"/>
                <w:sz w:val="28"/>
                <w:szCs w:val="28"/>
              </w:rPr>
            </w:pPr>
            <w:r>
              <w:rPr>
                <w:rFonts w:eastAsia="方正仿宋_GBK"/>
                <w:sz w:val="28"/>
                <w:szCs w:val="28"/>
              </w:rPr>
              <w:t>2025年1月9日印发</w:t>
            </w:r>
          </w:p>
        </w:tc>
      </w:tr>
    </w:tbl>
    <w:p w14:paraId="7505908F">
      <w:pPr>
        <w:tabs>
          <w:tab w:val="left" w:pos="0"/>
        </w:tabs>
        <w:adjustRightInd w:val="0"/>
        <w:snapToGrid w:val="0"/>
        <w:spacing w:line="20" w:lineRule="exact"/>
        <w:textAlignment w:val="baseline"/>
        <w:rPr>
          <w:rFonts w:eastAsia="方正仿宋_GB2312"/>
          <w:sz w:val="22"/>
          <w:szCs w:val="22"/>
        </w:rPr>
      </w:pPr>
    </w:p>
    <w:sectPr>
      <w:pgSz w:w="16838" w:h="11906" w:orient="landscape"/>
      <w:pgMar w:top="1417" w:right="2098" w:bottom="1417" w:left="1985"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9C4B96-59FC-4C09-809D-869D416BAB5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embedRegular r:id="rId2" w:fontKey="{1D2D11AE-70B0-4EFB-95B9-593BCCD5126E}"/>
  </w:font>
  <w:font w:name="文鼎大标宋简">
    <w:altName w:val="宋体"/>
    <w:panose1 w:val="00000000000000000000"/>
    <w:charset w:val="86"/>
    <w:family w:val="roma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embedRegular r:id="rId3" w:fontKey="{1D5E61DF-0643-48E8-A2B7-815FA5521FCB}"/>
  </w:font>
  <w:font w:name="方正小标宋_GBK">
    <w:panose1 w:val="03000509000000000000"/>
    <w:charset w:val="86"/>
    <w:family w:val="script"/>
    <w:pitch w:val="default"/>
    <w:sig w:usb0="00000001" w:usb1="080E0000" w:usb2="00000000" w:usb3="00000000" w:csb0="00040000" w:csb1="00000000"/>
    <w:embedRegular r:id="rId4" w:fontKey="{5676D107-3876-4142-B7CB-F7032664F2CC}"/>
  </w:font>
  <w:font w:name="方正仿宋_GB2312">
    <w:panose1 w:val="02000000000000000000"/>
    <w:charset w:val="86"/>
    <w:family w:val="auto"/>
    <w:pitch w:val="default"/>
    <w:sig w:usb0="A00002BF" w:usb1="184F6CFA" w:usb2="00000012" w:usb3="00000000" w:csb0="00040001" w:csb1="00000000"/>
    <w:embedRegular r:id="rId5" w:fontKey="{60CEF753-FD62-4B6F-8E2F-F6E01EB38C8C}"/>
  </w:font>
  <w:font w:name="方正黑体_GBK">
    <w:panose1 w:val="03000509000000000000"/>
    <w:charset w:val="86"/>
    <w:family w:val="script"/>
    <w:pitch w:val="default"/>
    <w:sig w:usb0="00000001" w:usb1="080E0000" w:usb2="00000000" w:usb3="00000000" w:csb0="00040000" w:csb1="00000000"/>
    <w:embedRegular r:id="rId6" w:fontKey="{44925F70-50A7-4FC3-9F25-3934AF21C73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99EAE">
    <w:pPr>
      <w:pStyle w:val="13"/>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13 -</w:t>
    </w:r>
    <w:r>
      <w:rPr>
        <w:rFonts w:asciiTheme="minorEastAsia" w:hAnsiTheme="minorEastAsia" w:eastAsiaTheme="minorEastAsia"/>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2300944"/>
    </w:sdtPr>
    <w:sdtEndPr>
      <w:rPr>
        <w:rFonts w:asciiTheme="minorEastAsia" w:hAnsiTheme="minorEastAsia" w:eastAsiaTheme="minorEastAsia"/>
        <w:sz w:val="28"/>
        <w:szCs w:val="28"/>
      </w:rPr>
    </w:sdtEndPr>
    <w:sdtContent>
      <w:p w14:paraId="139262ED">
        <w:pPr>
          <w:pStyle w:val="13"/>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14 -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1NTdiMjRkZTcwMjM5MTU3ZWI0NjE2MTk5OGZmMmQifQ=="/>
  </w:docVars>
  <w:rsids>
    <w:rsidRoot w:val="006F4D03"/>
    <w:rsid w:val="00010C2A"/>
    <w:rsid w:val="00027FB7"/>
    <w:rsid w:val="00051F2B"/>
    <w:rsid w:val="000535A2"/>
    <w:rsid w:val="000570F9"/>
    <w:rsid w:val="0006092F"/>
    <w:rsid w:val="00061632"/>
    <w:rsid w:val="000679FF"/>
    <w:rsid w:val="00072B89"/>
    <w:rsid w:val="0008051F"/>
    <w:rsid w:val="00081072"/>
    <w:rsid w:val="00093C6E"/>
    <w:rsid w:val="000A2498"/>
    <w:rsid w:val="000A4A86"/>
    <w:rsid w:val="000A792C"/>
    <w:rsid w:val="000D41C4"/>
    <w:rsid w:val="000E235B"/>
    <w:rsid w:val="0011179C"/>
    <w:rsid w:val="00111B54"/>
    <w:rsid w:val="00113DD5"/>
    <w:rsid w:val="00120227"/>
    <w:rsid w:val="00124A42"/>
    <w:rsid w:val="001308B6"/>
    <w:rsid w:val="0015737C"/>
    <w:rsid w:val="001576B8"/>
    <w:rsid w:val="0016413E"/>
    <w:rsid w:val="001665F7"/>
    <w:rsid w:val="00171B40"/>
    <w:rsid w:val="00180E3B"/>
    <w:rsid w:val="001B2468"/>
    <w:rsid w:val="001D32D3"/>
    <w:rsid w:val="001E7122"/>
    <w:rsid w:val="001F4A1E"/>
    <w:rsid w:val="00205F1F"/>
    <w:rsid w:val="0021291D"/>
    <w:rsid w:val="002160D5"/>
    <w:rsid w:val="00225CB6"/>
    <w:rsid w:val="002317F7"/>
    <w:rsid w:val="00231B92"/>
    <w:rsid w:val="00232B5F"/>
    <w:rsid w:val="0024059E"/>
    <w:rsid w:val="002431E3"/>
    <w:rsid w:val="00250D7F"/>
    <w:rsid w:val="00251FD6"/>
    <w:rsid w:val="002A2D38"/>
    <w:rsid w:val="002A5B41"/>
    <w:rsid w:val="002E1BF3"/>
    <w:rsid w:val="002E5F22"/>
    <w:rsid w:val="00303C25"/>
    <w:rsid w:val="00311876"/>
    <w:rsid w:val="00326C13"/>
    <w:rsid w:val="00344264"/>
    <w:rsid w:val="00352C03"/>
    <w:rsid w:val="0035764F"/>
    <w:rsid w:val="00360881"/>
    <w:rsid w:val="00367FE5"/>
    <w:rsid w:val="00375CF3"/>
    <w:rsid w:val="0037617D"/>
    <w:rsid w:val="00384434"/>
    <w:rsid w:val="0038745C"/>
    <w:rsid w:val="00394771"/>
    <w:rsid w:val="003D1DF2"/>
    <w:rsid w:val="004108BA"/>
    <w:rsid w:val="00411FA2"/>
    <w:rsid w:val="00423601"/>
    <w:rsid w:val="00445F9B"/>
    <w:rsid w:val="004660DD"/>
    <w:rsid w:val="00470CCB"/>
    <w:rsid w:val="00472C28"/>
    <w:rsid w:val="00473579"/>
    <w:rsid w:val="0047785C"/>
    <w:rsid w:val="00494D66"/>
    <w:rsid w:val="004A1712"/>
    <w:rsid w:val="004B1305"/>
    <w:rsid w:val="004C215E"/>
    <w:rsid w:val="004C433D"/>
    <w:rsid w:val="004D5F4D"/>
    <w:rsid w:val="004E3DC5"/>
    <w:rsid w:val="004F3C28"/>
    <w:rsid w:val="005151AE"/>
    <w:rsid w:val="0052378D"/>
    <w:rsid w:val="0053368B"/>
    <w:rsid w:val="00533962"/>
    <w:rsid w:val="00545CB8"/>
    <w:rsid w:val="00561FA1"/>
    <w:rsid w:val="005717FD"/>
    <w:rsid w:val="005765A3"/>
    <w:rsid w:val="00582424"/>
    <w:rsid w:val="00584188"/>
    <w:rsid w:val="0058624A"/>
    <w:rsid w:val="0058702F"/>
    <w:rsid w:val="00592628"/>
    <w:rsid w:val="005A5937"/>
    <w:rsid w:val="005A7CB4"/>
    <w:rsid w:val="005B2BC6"/>
    <w:rsid w:val="005C6EC8"/>
    <w:rsid w:val="005D607D"/>
    <w:rsid w:val="005E18FF"/>
    <w:rsid w:val="005E7C99"/>
    <w:rsid w:val="00602A66"/>
    <w:rsid w:val="006075E7"/>
    <w:rsid w:val="00631360"/>
    <w:rsid w:val="00635235"/>
    <w:rsid w:val="00636552"/>
    <w:rsid w:val="0064150B"/>
    <w:rsid w:val="00652543"/>
    <w:rsid w:val="00662181"/>
    <w:rsid w:val="0066668D"/>
    <w:rsid w:val="00672536"/>
    <w:rsid w:val="00674BD8"/>
    <w:rsid w:val="006923A3"/>
    <w:rsid w:val="00693814"/>
    <w:rsid w:val="00693AAB"/>
    <w:rsid w:val="006A0651"/>
    <w:rsid w:val="006C0C03"/>
    <w:rsid w:val="006C231E"/>
    <w:rsid w:val="006C5CBA"/>
    <w:rsid w:val="006C78A2"/>
    <w:rsid w:val="006F4BC8"/>
    <w:rsid w:val="006F4D03"/>
    <w:rsid w:val="006F664F"/>
    <w:rsid w:val="007338A8"/>
    <w:rsid w:val="00742AD0"/>
    <w:rsid w:val="00744C06"/>
    <w:rsid w:val="00757918"/>
    <w:rsid w:val="00757D69"/>
    <w:rsid w:val="00761626"/>
    <w:rsid w:val="00767C3E"/>
    <w:rsid w:val="0077374E"/>
    <w:rsid w:val="007A2880"/>
    <w:rsid w:val="007A4469"/>
    <w:rsid w:val="007B40B8"/>
    <w:rsid w:val="007B66E7"/>
    <w:rsid w:val="007D5C9E"/>
    <w:rsid w:val="007D7E0E"/>
    <w:rsid w:val="007F39DD"/>
    <w:rsid w:val="00803FD9"/>
    <w:rsid w:val="00814E9E"/>
    <w:rsid w:val="00823C06"/>
    <w:rsid w:val="00824911"/>
    <w:rsid w:val="00832196"/>
    <w:rsid w:val="00835355"/>
    <w:rsid w:val="00837E47"/>
    <w:rsid w:val="00845814"/>
    <w:rsid w:val="008648C4"/>
    <w:rsid w:val="008764C8"/>
    <w:rsid w:val="00894C12"/>
    <w:rsid w:val="008B542E"/>
    <w:rsid w:val="008B642A"/>
    <w:rsid w:val="008B753B"/>
    <w:rsid w:val="008C3D9F"/>
    <w:rsid w:val="008C57E5"/>
    <w:rsid w:val="008D3074"/>
    <w:rsid w:val="008E6779"/>
    <w:rsid w:val="008F5C65"/>
    <w:rsid w:val="009044FA"/>
    <w:rsid w:val="0091696E"/>
    <w:rsid w:val="00923530"/>
    <w:rsid w:val="00971155"/>
    <w:rsid w:val="00972CEF"/>
    <w:rsid w:val="0097344E"/>
    <w:rsid w:val="009B44CC"/>
    <w:rsid w:val="009F7B45"/>
    <w:rsid w:val="00A052EF"/>
    <w:rsid w:val="00A64F46"/>
    <w:rsid w:val="00A92DD7"/>
    <w:rsid w:val="00A948CC"/>
    <w:rsid w:val="00A97924"/>
    <w:rsid w:val="00AB2D55"/>
    <w:rsid w:val="00AB778B"/>
    <w:rsid w:val="00AB795C"/>
    <w:rsid w:val="00AC52AB"/>
    <w:rsid w:val="00AC74D3"/>
    <w:rsid w:val="00AD6DEB"/>
    <w:rsid w:val="00AE40A2"/>
    <w:rsid w:val="00AE7530"/>
    <w:rsid w:val="00AF3F05"/>
    <w:rsid w:val="00B00727"/>
    <w:rsid w:val="00B053CD"/>
    <w:rsid w:val="00B072D3"/>
    <w:rsid w:val="00B11A78"/>
    <w:rsid w:val="00B13AA7"/>
    <w:rsid w:val="00B24A76"/>
    <w:rsid w:val="00B26EC7"/>
    <w:rsid w:val="00B55BF1"/>
    <w:rsid w:val="00B70ED6"/>
    <w:rsid w:val="00B71C79"/>
    <w:rsid w:val="00B77698"/>
    <w:rsid w:val="00BA338F"/>
    <w:rsid w:val="00BA3726"/>
    <w:rsid w:val="00BB519B"/>
    <w:rsid w:val="00BB7309"/>
    <w:rsid w:val="00BC5A90"/>
    <w:rsid w:val="00BC6866"/>
    <w:rsid w:val="00BC6C2D"/>
    <w:rsid w:val="00BD4CD6"/>
    <w:rsid w:val="00BE1CAE"/>
    <w:rsid w:val="00BE6FF5"/>
    <w:rsid w:val="00BE7A4B"/>
    <w:rsid w:val="00BE7CC1"/>
    <w:rsid w:val="00C06ACA"/>
    <w:rsid w:val="00C0759E"/>
    <w:rsid w:val="00C16981"/>
    <w:rsid w:val="00C26C00"/>
    <w:rsid w:val="00C27C17"/>
    <w:rsid w:val="00C27C49"/>
    <w:rsid w:val="00C51DA8"/>
    <w:rsid w:val="00C56943"/>
    <w:rsid w:val="00C6638F"/>
    <w:rsid w:val="00C77D60"/>
    <w:rsid w:val="00C82F81"/>
    <w:rsid w:val="00CA2AB2"/>
    <w:rsid w:val="00CB0060"/>
    <w:rsid w:val="00CD1BC8"/>
    <w:rsid w:val="00CF494B"/>
    <w:rsid w:val="00D37936"/>
    <w:rsid w:val="00D712BC"/>
    <w:rsid w:val="00D7285D"/>
    <w:rsid w:val="00D73135"/>
    <w:rsid w:val="00D740B2"/>
    <w:rsid w:val="00D77995"/>
    <w:rsid w:val="00D97C23"/>
    <w:rsid w:val="00DA79BE"/>
    <w:rsid w:val="00DB62BB"/>
    <w:rsid w:val="00DC4AA9"/>
    <w:rsid w:val="00DC5568"/>
    <w:rsid w:val="00DD0E69"/>
    <w:rsid w:val="00DE6713"/>
    <w:rsid w:val="00E03A1A"/>
    <w:rsid w:val="00E0715D"/>
    <w:rsid w:val="00E229EF"/>
    <w:rsid w:val="00E65F5D"/>
    <w:rsid w:val="00E707C2"/>
    <w:rsid w:val="00E707E7"/>
    <w:rsid w:val="00E807A6"/>
    <w:rsid w:val="00E920B5"/>
    <w:rsid w:val="00EA520C"/>
    <w:rsid w:val="00EB028B"/>
    <w:rsid w:val="00EB6FFE"/>
    <w:rsid w:val="00ED2DAC"/>
    <w:rsid w:val="00EF09F5"/>
    <w:rsid w:val="00F05DE7"/>
    <w:rsid w:val="00F14C01"/>
    <w:rsid w:val="00F15783"/>
    <w:rsid w:val="00F24CCB"/>
    <w:rsid w:val="00F253E9"/>
    <w:rsid w:val="00F457AF"/>
    <w:rsid w:val="00F8268F"/>
    <w:rsid w:val="00F84636"/>
    <w:rsid w:val="00F90159"/>
    <w:rsid w:val="00FB1077"/>
    <w:rsid w:val="00FC66F7"/>
    <w:rsid w:val="00FD3DBF"/>
    <w:rsid w:val="023D46EC"/>
    <w:rsid w:val="02D74B40"/>
    <w:rsid w:val="031F2043"/>
    <w:rsid w:val="038F0F77"/>
    <w:rsid w:val="04736A44"/>
    <w:rsid w:val="068E22B1"/>
    <w:rsid w:val="076D5A73"/>
    <w:rsid w:val="09187C60"/>
    <w:rsid w:val="096547C7"/>
    <w:rsid w:val="09970B85"/>
    <w:rsid w:val="0A4A209B"/>
    <w:rsid w:val="0AB8591A"/>
    <w:rsid w:val="0C160487"/>
    <w:rsid w:val="0F3A6EE3"/>
    <w:rsid w:val="0FF00FEF"/>
    <w:rsid w:val="107439CE"/>
    <w:rsid w:val="112E1DCF"/>
    <w:rsid w:val="132711CC"/>
    <w:rsid w:val="13B62DFC"/>
    <w:rsid w:val="25342157"/>
    <w:rsid w:val="27745E3F"/>
    <w:rsid w:val="293475D7"/>
    <w:rsid w:val="29AB625B"/>
    <w:rsid w:val="2FFB723A"/>
    <w:rsid w:val="302E3742"/>
    <w:rsid w:val="30E20088"/>
    <w:rsid w:val="321B7C8E"/>
    <w:rsid w:val="324234D5"/>
    <w:rsid w:val="32C16660"/>
    <w:rsid w:val="32F56799"/>
    <w:rsid w:val="33BA52ED"/>
    <w:rsid w:val="34607C42"/>
    <w:rsid w:val="363C648D"/>
    <w:rsid w:val="36B10C29"/>
    <w:rsid w:val="385775AE"/>
    <w:rsid w:val="3865480A"/>
    <w:rsid w:val="389E6F8B"/>
    <w:rsid w:val="3EEB5DEE"/>
    <w:rsid w:val="3FCB2D5B"/>
    <w:rsid w:val="402661E4"/>
    <w:rsid w:val="40B57568"/>
    <w:rsid w:val="40FA31CC"/>
    <w:rsid w:val="416B23D3"/>
    <w:rsid w:val="44004F9E"/>
    <w:rsid w:val="4A421E6C"/>
    <w:rsid w:val="4B7763EC"/>
    <w:rsid w:val="4B7A5635"/>
    <w:rsid w:val="4BA44460"/>
    <w:rsid w:val="4D573D1C"/>
    <w:rsid w:val="4D924EB8"/>
    <w:rsid w:val="4D994499"/>
    <w:rsid w:val="4DBA440F"/>
    <w:rsid w:val="4E7C3473"/>
    <w:rsid w:val="4F43537B"/>
    <w:rsid w:val="50AC5643"/>
    <w:rsid w:val="51FD48CA"/>
    <w:rsid w:val="5256140F"/>
    <w:rsid w:val="53A82F50"/>
    <w:rsid w:val="55B55BE8"/>
    <w:rsid w:val="57034731"/>
    <w:rsid w:val="57452F9B"/>
    <w:rsid w:val="57813081"/>
    <w:rsid w:val="57CC4919"/>
    <w:rsid w:val="57F81DBC"/>
    <w:rsid w:val="58403763"/>
    <w:rsid w:val="5954396A"/>
    <w:rsid w:val="5B2E3D47"/>
    <w:rsid w:val="5C6C5005"/>
    <w:rsid w:val="5CF64DDF"/>
    <w:rsid w:val="5F351B48"/>
    <w:rsid w:val="5F6854BF"/>
    <w:rsid w:val="5FBA5662"/>
    <w:rsid w:val="5FE61094"/>
    <w:rsid w:val="61BA6246"/>
    <w:rsid w:val="61DD3FCD"/>
    <w:rsid w:val="643853E4"/>
    <w:rsid w:val="644840CB"/>
    <w:rsid w:val="66A001EE"/>
    <w:rsid w:val="68E048D2"/>
    <w:rsid w:val="6AA65A4D"/>
    <w:rsid w:val="6B1F5B1E"/>
    <w:rsid w:val="6B767770"/>
    <w:rsid w:val="6BAE3519"/>
    <w:rsid w:val="6C500B29"/>
    <w:rsid w:val="6CC7336B"/>
    <w:rsid w:val="6DCF3167"/>
    <w:rsid w:val="6E240780"/>
    <w:rsid w:val="70343755"/>
    <w:rsid w:val="716D5F18"/>
    <w:rsid w:val="74E514C2"/>
    <w:rsid w:val="756774F9"/>
    <w:rsid w:val="77A31EFE"/>
    <w:rsid w:val="79164340"/>
    <w:rsid w:val="79346574"/>
    <w:rsid w:val="7B072192"/>
    <w:rsid w:val="7B690757"/>
    <w:rsid w:val="7F3042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4"/>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35"/>
    <w:qFormat/>
    <w:uiPriority w:val="0"/>
    <w:rPr>
      <w:rFonts w:ascii="宋体"/>
      <w:kern w:val="0"/>
      <w:sz w:val="18"/>
      <w:szCs w:val="18"/>
    </w:rPr>
  </w:style>
  <w:style w:type="paragraph" w:styleId="6">
    <w:name w:val="annotation text"/>
    <w:basedOn w:val="1"/>
    <w:link w:val="36"/>
    <w:qFormat/>
    <w:uiPriority w:val="99"/>
    <w:pPr>
      <w:spacing w:line="460" w:lineRule="exact"/>
      <w:jc w:val="left"/>
    </w:pPr>
    <w:rPr>
      <w:rFonts w:ascii="Calibri" w:hAnsi="Calibri"/>
      <w:szCs w:val="21"/>
    </w:rPr>
  </w:style>
  <w:style w:type="paragraph" w:styleId="7">
    <w:name w:val="Body Text"/>
    <w:basedOn w:val="1"/>
    <w:link w:val="29"/>
    <w:qFormat/>
    <w:uiPriority w:val="0"/>
    <w:pPr>
      <w:spacing w:line="540" w:lineRule="exact"/>
      <w:jc w:val="center"/>
    </w:pPr>
    <w:rPr>
      <w:rFonts w:eastAsia="黑体"/>
      <w:sz w:val="36"/>
      <w:szCs w:val="20"/>
    </w:rPr>
  </w:style>
  <w:style w:type="paragraph" w:styleId="8">
    <w:name w:val="Body Text Indent"/>
    <w:basedOn w:val="1"/>
    <w:link w:val="37"/>
    <w:qFormat/>
    <w:uiPriority w:val="0"/>
    <w:pPr>
      <w:spacing w:line="460" w:lineRule="exact"/>
      <w:ind w:firstLine="630"/>
    </w:pPr>
    <w:rPr>
      <w:rFonts w:ascii="仿宋_GB2312" w:eastAsia="仿宋_GB2312"/>
      <w:sz w:val="32"/>
      <w:szCs w:val="20"/>
    </w:rPr>
  </w:style>
  <w:style w:type="paragraph" w:styleId="9">
    <w:name w:val="Plain Text"/>
    <w:basedOn w:val="1"/>
    <w:link w:val="38"/>
    <w:qFormat/>
    <w:uiPriority w:val="0"/>
    <w:pPr>
      <w:spacing w:line="460" w:lineRule="exact"/>
    </w:pPr>
    <w:rPr>
      <w:rFonts w:ascii="宋体" w:hAnsi="Courier New"/>
      <w:szCs w:val="20"/>
    </w:rPr>
  </w:style>
  <w:style w:type="paragraph" w:styleId="10">
    <w:name w:val="Date"/>
    <w:basedOn w:val="1"/>
    <w:next w:val="1"/>
    <w:link w:val="32"/>
    <w:qFormat/>
    <w:uiPriority w:val="0"/>
    <w:pPr>
      <w:ind w:left="100" w:leftChars="2500"/>
    </w:pPr>
  </w:style>
  <w:style w:type="paragraph" w:styleId="11">
    <w:name w:val="Body Text Indent 2"/>
    <w:basedOn w:val="1"/>
    <w:link w:val="39"/>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31"/>
    <w:qFormat/>
    <w:uiPriority w:val="0"/>
    <w:rPr>
      <w:sz w:val="18"/>
      <w:szCs w:val="18"/>
    </w:rPr>
  </w:style>
  <w:style w:type="paragraph" w:styleId="13">
    <w:name w:val="footer"/>
    <w:basedOn w:val="1"/>
    <w:link w:val="28"/>
    <w:qFormat/>
    <w:uiPriority w:val="99"/>
    <w:pPr>
      <w:tabs>
        <w:tab w:val="center" w:pos="4153"/>
        <w:tab w:val="right" w:pos="8306"/>
      </w:tabs>
      <w:snapToGrid w:val="0"/>
      <w:jc w:val="left"/>
    </w:pPr>
    <w:rPr>
      <w:sz w:val="18"/>
      <w:szCs w:val="18"/>
    </w:rPr>
  </w:style>
  <w:style w:type="paragraph" w:styleId="14">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41"/>
    <w:qFormat/>
    <w:uiPriority w:val="0"/>
    <w:rPr>
      <w:b/>
      <w:bCs/>
    </w:rPr>
  </w:style>
  <w:style w:type="table" w:styleId="19">
    <w:name w:val="Table Grid"/>
    <w:basedOn w:val="18"/>
    <w:qFormat/>
    <w:uiPriority w:val="0"/>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qFormat/>
    <w:uiPriority w:val="99"/>
    <w:rPr>
      <w:rFonts w:cs="Times New Roman"/>
      <w:sz w:val="21"/>
      <w:szCs w:val="21"/>
    </w:rPr>
  </w:style>
  <w:style w:type="character" w:styleId="26">
    <w:name w:val="footnote reference"/>
    <w:qFormat/>
    <w:uiPriority w:val="0"/>
    <w:rPr>
      <w:rFonts w:cs="Times New Roman"/>
      <w:vertAlign w:val="superscript"/>
    </w:rPr>
  </w:style>
  <w:style w:type="character" w:customStyle="1" w:styleId="27">
    <w:name w:val="页眉 字符"/>
    <w:basedOn w:val="20"/>
    <w:link w:val="14"/>
    <w:qFormat/>
    <w:uiPriority w:val="0"/>
    <w:rPr>
      <w:kern w:val="2"/>
      <w:sz w:val="18"/>
      <w:szCs w:val="18"/>
    </w:rPr>
  </w:style>
  <w:style w:type="character" w:customStyle="1" w:styleId="28">
    <w:name w:val="页脚 字符1"/>
    <w:basedOn w:val="20"/>
    <w:link w:val="13"/>
    <w:qFormat/>
    <w:uiPriority w:val="99"/>
    <w:rPr>
      <w:kern w:val="2"/>
      <w:sz w:val="18"/>
      <w:szCs w:val="18"/>
    </w:rPr>
  </w:style>
  <w:style w:type="character" w:customStyle="1" w:styleId="29">
    <w:name w:val="正文文本 字符"/>
    <w:link w:val="7"/>
    <w:qFormat/>
    <w:uiPriority w:val="0"/>
    <w:rPr>
      <w:rFonts w:eastAsia="黑体"/>
      <w:kern w:val="2"/>
      <w:sz w:val="36"/>
    </w:rPr>
  </w:style>
  <w:style w:type="character" w:customStyle="1" w:styleId="30">
    <w:name w:val="正文文本 Char1"/>
    <w:basedOn w:val="20"/>
    <w:qFormat/>
    <w:uiPriority w:val="0"/>
    <w:rPr>
      <w:kern w:val="2"/>
      <w:sz w:val="21"/>
      <w:szCs w:val="24"/>
    </w:rPr>
  </w:style>
  <w:style w:type="character" w:customStyle="1" w:styleId="31">
    <w:name w:val="批注框文本 字符"/>
    <w:basedOn w:val="20"/>
    <w:link w:val="12"/>
    <w:qFormat/>
    <w:uiPriority w:val="0"/>
    <w:rPr>
      <w:kern w:val="2"/>
      <w:sz w:val="18"/>
      <w:szCs w:val="18"/>
    </w:rPr>
  </w:style>
  <w:style w:type="character" w:customStyle="1" w:styleId="32">
    <w:name w:val="日期 字符"/>
    <w:basedOn w:val="20"/>
    <w:link w:val="10"/>
    <w:qFormat/>
    <w:uiPriority w:val="0"/>
    <w:rPr>
      <w:kern w:val="2"/>
      <w:sz w:val="21"/>
      <w:szCs w:val="24"/>
    </w:rPr>
  </w:style>
  <w:style w:type="character" w:customStyle="1" w:styleId="33">
    <w:name w:val="标题 1 字符"/>
    <w:basedOn w:val="20"/>
    <w:link w:val="2"/>
    <w:qFormat/>
    <w:uiPriority w:val="0"/>
    <w:rPr>
      <w:b/>
      <w:bCs/>
      <w:kern w:val="44"/>
      <w:sz w:val="44"/>
      <w:szCs w:val="44"/>
    </w:rPr>
  </w:style>
  <w:style w:type="character" w:customStyle="1" w:styleId="34">
    <w:name w:val="标题 2 字符"/>
    <w:basedOn w:val="20"/>
    <w:link w:val="3"/>
    <w:qFormat/>
    <w:uiPriority w:val="0"/>
    <w:rPr>
      <w:rFonts w:ascii="宋体"/>
      <w:b/>
      <w:bCs/>
      <w:sz w:val="36"/>
      <w:szCs w:val="36"/>
    </w:rPr>
  </w:style>
  <w:style w:type="character" w:customStyle="1" w:styleId="35">
    <w:name w:val="文档结构图 字符"/>
    <w:basedOn w:val="20"/>
    <w:link w:val="5"/>
    <w:qFormat/>
    <w:uiPriority w:val="0"/>
    <w:rPr>
      <w:rFonts w:ascii="宋体"/>
      <w:sz w:val="18"/>
      <w:szCs w:val="18"/>
    </w:rPr>
  </w:style>
  <w:style w:type="character" w:customStyle="1" w:styleId="36">
    <w:name w:val="批注文字 字符"/>
    <w:basedOn w:val="20"/>
    <w:link w:val="6"/>
    <w:qFormat/>
    <w:uiPriority w:val="99"/>
    <w:rPr>
      <w:rFonts w:ascii="Calibri" w:hAnsi="Calibri"/>
      <w:kern w:val="2"/>
      <w:sz w:val="21"/>
      <w:szCs w:val="21"/>
    </w:rPr>
  </w:style>
  <w:style w:type="character" w:customStyle="1" w:styleId="37">
    <w:name w:val="正文文本缩进 字符"/>
    <w:basedOn w:val="20"/>
    <w:link w:val="8"/>
    <w:qFormat/>
    <w:uiPriority w:val="0"/>
    <w:rPr>
      <w:rFonts w:ascii="仿宋_GB2312" w:eastAsia="仿宋_GB2312"/>
      <w:kern w:val="2"/>
      <w:sz w:val="32"/>
    </w:rPr>
  </w:style>
  <w:style w:type="character" w:customStyle="1" w:styleId="38">
    <w:name w:val="纯文本 字符"/>
    <w:basedOn w:val="20"/>
    <w:link w:val="9"/>
    <w:qFormat/>
    <w:uiPriority w:val="0"/>
    <w:rPr>
      <w:rFonts w:ascii="宋体" w:hAnsi="Courier New"/>
      <w:kern w:val="2"/>
      <w:sz w:val="21"/>
    </w:rPr>
  </w:style>
  <w:style w:type="character" w:customStyle="1" w:styleId="39">
    <w:name w:val="正文文本缩进 2 字符"/>
    <w:basedOn w:val="20"/>
    <w:link w:val="11"/>
    <w:qFormat/>
    <w:uiPriority w:val="0"/>
    <w:rPr>
      <w:rFonts w:ascii="仿宋_GB2312" w:eastAsia="仿宋_GB2312"/>
      <w:sz w:val="28"/>
    </w:rPr>
  </w:style>
  <w:style w:type="character" w:customStyle="1" w:styleId="40">
    <w:name w:val="正文文本缩进 3 字符"/>
    <w:basedOn w:val="20"/>
    <w:link w:val="15"/>
    <w:qFormat/>
    <w:uiPriority w:val="0"/>
    <w:rPr>
      <w:rFonts w:ascii="宋体"/>
      <w:sz w:val="21"/>
      <w:szCs w:val="21"/>
    </w:rPr>
  </w:style>
  <w:style w:type="character" w:customStyle="1" w:styleId="41">
    <w:name w:val="批注主题 字符"/>
    <w:basedOn w:val="36"/>
    <w:link w:val="17"/>
    <w:qFormat/>
    <w:uiPriority w:val="0"/>
    <w:rPr>
      <w:rFonts w:ascii="Calibri" w:hAnsi="Calibri"/>
      <w:b/>
      <w:bCs/>
      <w:kern w:val="2"/>
      <w:sz w:val="21"/>
      <w:szCs w:val="21"/>
    </w:rPr>
  </w:style>
  <w:style w:type="table" w:customStyle="1" w:styleId="42">
    <w:name w:val="网格型1"/>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3">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44">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45">
    <w:name w:val="修订1"/>
    <w:qFormat/>
    <w:uiPriority w:val="0"/>
    <w:rPr>
      <w:rFonts w:ascii="Times New Roman" w:hAnsi="Times New Roman" w:eastAsia="宋体" w:cs="Times New Roman"/>
      <w:kern w:val="2"/>
      <w:sz w:val="21"/>
      <w:szCs w:val="24"/>
      <w:lang w:val="en-US" w:eastAsia="zh-CN" w:bidi="ar-SA"/>
    </w:rPr>
  </w:style>
  <w:style w:type="paragraph" w:customStyle="1" w:styleId="46">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47">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48">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50">
    <w:name w:val="列出段落1"/>
    <w:basedOn w:val="1"/>
    <w:qFormat/>
    <w:uiPriority w:val="0"/>
    <w:pPr>
      <w:ind w:firstLine="420" w:firstLineChars="200"/>
    </w:pPr>
  </w:style>
  <w:style w:type="paragraph" w:customStyle="1" w:styleId="51">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52">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53">
    <w:name w:val="edited2"/>
    <w:qFormat/>
    <w:uiPriority w:val="0"/>
    <w:rPr>
      <w:rFonts w:cs="Times New Roman"/>
    </w:rPr>
  </w:style>
  <w:style w:type="character" w:customStyle="1" w:styleId="54">
    <w:name w:val="high-light-bg4"/>
    <w:qFormat/>
    <w:uiPriority w:val="0"/>
    <w:rPr>
      <w:rFonts w:cs="Times New Roman"/>
    </w:rPr>
  </w:style>
  <w:style w:type="character" w:customStyle="1" w:styleId="55">
    <w:name w:val="unnamed2"/>
    <w:qFormat/>
    <w:uiPriority w:val="0"/>
    <w:rPr>
      <w:rFonts w:cs="Times New Roman"/>
    </w:rPr>
  </w:style>
  <w:style w:type="paragraph" w:customStyle="1" w:styleId="5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7">
    <w:name w:val="列出段落2"/>
    <w:basedOn w:val="1"/>
    <w:qFormat/>
    <w:uiPriority w:val="0"/>
    <w:pPr>
      <w:ind w:firstLine="420" w:firstLineChars="200"/>
    </w:pPr>
    <w:rPr>
      <w:rFonts w:ascii="等线" w:hAnsi="等线" w:eastAsia="等线"/>
      <w:szCs w:val="21"/>
    </w:rPr>
  </w:style>
  <w:style w:type="paragraph" w:customStyle="1" w:styleId="58">
    <w:name w:val="列出段落3"/>
    <w:basedOn w:val="1"/>
    <w:next w:val="59"/>
    <w:qFormat/>
    <w:uiPriority w:val="34"/>
    <w:pPr>
      <w:ind w:firstLine="420" w:firstLineChars="200"/>
    </w:pPr>
    <w:rPr>
      <w:rFonts w:ascii="Calibri" w:hAnsi="Calibri"/>
      <w:szCs w:val="22"/>
    </w:rPr>
  </w:style>
  <w:style w:type="paragraph" w:styleId="59">
    <w:name w:val="List Paragraph"/>
    <w:basedOn w:val="1"/>
    <w:qFormat/>
    <w:uiPriority w:val="34"/>
    <w:pPr>
      <w:ind w:firstLine="420" w:firstLineChars="200"/>
    </w:pPr>
  </w:style>
  <w:style w:type="paragraph" w:customStyle="1" w:styleId="60">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3">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7"/>
    <w:hidden/>
    <w:semiHidden/>
    <w:qFormat/>
    <w:uiPriority w:val="99"/>
    <w:rPr>
      <w:rFonts w:ascii="Times New Roman" w:hAnsi="Times New Roman" w:eastAsia="宋体" w:cs="Times New Roman"/>
      <w:kern w:val="2"/>
      <w:sz w:val="21"/>
      <w:szCs w:val="24"/>
      <w:lang w:val="en-US" w:eastAsia="zh-CN" w:bidi="ar-SA"/>
    </w:rPr>
  </w:style>
  <w:style w:type="character" w:customStyle="1" w:styleId="65">
    <w:name w:val="页脚 字符"/>
    <w:qFormat/>
    <w:uiPriority w:val="99"/>
    <w:rPr>
      <w:kern w:val="2"/>
      <w:sz w:val="18"/>
      <w:szCs w:val="18"/>
    </w:rPr>
  </w:style>
  <w:style w:type="paragraph" w:customStyle="1" w:styleId="66">
    <w:name w:val="Table Text"/>
    <w:basedOn w:val="1"/>
    <w:autoRedefine/>
    <w:semiHidden/>
    <w:qFormat/>
    <w:uiPriority w:val="0"/>
    <w:rPr>
      <w:rFonts w:eastAsia="Times New Roman"/>
      <w:sz w:val="20"/>
      <w:szCs w:val="20"/>
    </w:rPr>
  </w:style>
  <w:style w:type="table" w:customStyle="1" w:styleId="6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243</Words>
  <Characters>249</Characters>
  <Lines>44</Lines>
  <Paragraphs>12</Paragraphs>
  <TotalTime>106</TotalTime>
  <ScaleCrop>false</ScaleCrop>
  <LinksUpToDate>false</LinksUpToDate>
  <CharactersWithSpaces>259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2024-12-12T08:42:00Z</dcterms:created>
  <dc:creator>李颖(19940012)</dc:creator>
  <cp:lastModifiedBy>李军</cp:lastModifiedBy>
  <cp:lastPrinted>2024-12-25T01:06:00Z</cp:lastPrinted>
  <dcterms:modified xsi:type="dcterms:W3CDTF">2025-01-12T12:15:24Z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7603399D093D4687B1511A71F33FD0B6_13</vt:lpwstr>
  </property>
  <property fmtid="{D5CDD505-2E9C-101B-9397-08002B2CF9AE}" pid="4" name="KSOTemplateDocerSaveRecord">
    <vt:lpwstr>eyJoZGlkIjoiMGJiZGNhNWNkZDhhNGFlY2JlMDQ2MGNjM2E3Njc0MDciLCJ1c2VySWQiOiIxMjQ5MjgwNjMifQ==</vt:lpwstr>
  </property>
</Properties>
</file>