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v:shape>
            </w:pict>
          </mc:Fallback>
        </mc:AlternateContent>
      </w:r>
    </w:p>
    <w:p>
      <w:pPr>
        <w:spacing w:line="540" w:lineRule="auto"/>
        <w:rPr>
          <w:rFonts w:hint="default" w:ascii="Times New Roman" w:hAnsi="Times New Roman" w:eastAsia="方正仿宋_GBK" w:cs="Times New Roman"/>
          <w:color w:val="auto"/>
          <w:sz w:val="32"/>
          <w:szCs w:val="32"/>
          <w:highlight w:val="none"/>
        </w:rPr>
      </w:pPr>
    </w:p>
    <w:p>
      <w:pPr>
        <w:spacing w:line="540" w:lineRule="auto"/>
        <w:rPr>
          <w:rFonts w:hint="default" w:ascii="Times New Roman" w:hAnsi="Times New Roman" w:eastAsia="方正仿宋_GBK" w:cs="Times New Roman"/>
          <w:color w:val="auto"/>
          <w:sz w:val="32"/>
          <w:szCs w:val="32"/>
          <w:highlight w:val="none"/>
        </w:rPr>
      </w:pPr>
    </w:p>
    <w:p>
      <w:pPr>
        <w:spacing w:line="540" w:lineRule="auto"/>
        <w:rPr>
          <w:rFonts w:hint="default" w:ascii="Times New Roman" w:hAnsi="Times New Roman" w:eastAsia="方正仿宋_GBK" w:cs="Times New Roman"/>
          <w:color w:val="auto"/>
          <w:sz w:val="32"/>
          <w:szCs w:val="32"/>
          <w:highlight w:val="none"/>
        </w:rPr>
      </w:pPr>
    </w:p>
    <w:tbl>
      <w:tblPr>
        <w:tblStyle w:val="8"/>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shd w:val="clear" w:color="auto" w:fill="auto"/>
          </w:tcPr>
          <w:p>
            <w:pPr>
              <w:spacing w:line="600" w:lineRule="exact"/>
              <w:jc w:val="center"/>
              <w:rPr>
                <w:rFonts w:hint="default" w:ascii="Times New Roman" w:hAnsi="Times New Roman" w:eastAsia="方正仿宋_GBK" w:cs="Times New Roman"/>
                <w:color w:val="auto"/>
                <w:sz w:val="32"/>
                <w:szCs w:val="32"/>
                <w:highlight w:val="none"/>
              </w:rPr>
            </w:pPr>
            <w:bookmarkStart w:id="0" w:name="doc_mark"/>
            <w:r>
              <w:rPr>
                <w:rFonts w:hint="default" w:ascii="Times New Roman" w:hAnsi="Times New Roman" w:eastAsia="方正仿宋_GBK" w:cs="Times New Roman"/>
                <w:color w:val="auto"/>
                <w:sz w:val="32"/>
                <w:szCs w:val="32"/>
                <w:highlight w:val="none"/>
              </w:rPr>
              <w:t>渝化职院〔202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102</w:t>
            </w:r>
            <w:r>
              <w:rPr>
                <w:rFonts w:hint="default" w:ascii="Times New Roman" w:hAnsi="Times New Roman" w:eastAsia="方正仿宋_GBK" w:cs="Times New Roman"/>
                <w:color w:val="auto"/>
                <w:sz w:val="32"/>
                <w:szCs w:val="32"/>
                <w:highlight w:val="none"/>
              </w:rPr>
              <w:t>号</w:t>
            </w:r>
            <w:bookmarkEnd w:id="0"/>
          </w:p>
        </w:tc>
      </w:tr>
    </w:tbl>
    <w:p>
      <w:pPr>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59264;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d0/WLu0BAAC1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p+ZgzJywN/Obrrz9f&#10;vv/9/Y3Om58/2DiJ1HusKHbmliHRlDt35S9BfkbmYNYJt1a52eu9J4RhyigepCQDPZVa9e+goRix&#10;iZAV27XBstZo/yklJnBShe3yiPanEaldZJIex+fD8Zszmp689RWiShAp0QeMbxVYli41N9ol9UQl&#10;tpcYU0t3IenZwUIbkzfAONbXfDQ+K8ucgWB0k7wpDsN6NTOBbQUt0WJR0pcJkud+WICNaw5VjDvy&#10;T5QP4q2g2S/DrS40zdzOcfPSuty3c/bd3zb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CIoTS&#10;AAAABgEAAA8AAAAAAAAAAQAgAAAAIgAAAGRycy9kb3ducmV2LnhtbFBLAQIUABQAAAAIAIdO4kB3&#10;T9Yu7QEAALUDAAAOAAAAAAAAAAEAIAAAACEBAABkcnMvZTJvRG9jLnhtbFBLBQYAAAAABgAGAFkB&#10;AACABQAAAAA=&#10;">
                <v:fill on="f" focussize="0,0"/>
                <v:stroke weight="2pt" color="#FF0000" joinstyle="round"/>
                <v:imagedata o:title=""/>
                <o:lock v:ext="edit" aspectratio="f"/>
              </v:line>
            </w:pict>
          </mc:Fallback>
        </mc:AlternateConten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重庆化工职业学院</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auto"/>
          <w:sz w:val="44"/>
          <w:szCs w:val="44"/>
          <w:highlight w:val="none"/>
        </w:rPr>
        <w:t>关于印发</w:t>
      </w:r>
      <w:r>
        <w:rPr>
          <w:rFonts w:hint="default" w:ascii="Times New Roman" w:hAnsi="Times New Roman" w:eastAsia="方正小标宋_GBK" w:cs="Times New Roman"/>
          <w:sz w:val="44"/>
          <w:szCs w:val="44"/>
        </w:rPr>
        <w:t>基本建设工程项目审计实施</w: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sz w:val="44"/>
          <w:szCs w:val="44"/>
        </w:rPr>
        <w:t>办法（修订）</w:t>
      </w:r>
      <w:r>
        <w:rPr>
          <w:rFonts w:hint="default" w:ascii="Times New Roman" w:hAnsi="Times New Roman" w:eastAsia="方正小标宋_GBK" w:cs="Times New Roman"/>
          <w:color w:val="auto"/>
          <w:sz w:val="44"/>
          <w:szCs w:val="44"/>
          <w:highlight w:val="none"/>
        </w:rPr>
        <w:t>的通知</w:t>
      </w:r>
    </w:p>
    <w:p>
      <w:pPr>
        <w:spacing w:line="579" w:lineRule="exact"/>
        <w:jc w:val="center"/>
        <w:rPr>
          <w:rFonts w:hint="default" w:ascii="Times New Roman" w:hAnsi="Times New Roman" w:eastAsia="方正小标宋简体" w:cs="Times New Roman"/>
          <w:color w:val="auto"/>
          <w:sz w:val="44"/>
          <w:szCs w:val="44"/>
          <w:highlight w:val="none"/>
        </w:rPr>
      </w:pPr>
    </w:p>
    <w:p>
      <w:pPr>
        <w:spacing w:line="579"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各部门、各单位：</w:t>
      </w:r>
    </w:p>
    <w:p>
      <w:pPr>
        <w:spacing w:line="579" w:lineRule="exact"/>
        <w:ind w:firstLine="8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w:t>
      </w:r>
      <w:r>
        <w:rPr>
          <w:rFonts w:hint="default" w:ascii="Times New Roman" w:hAnsi="Times New Roman" w:eastAsia="方正仿宋_GBK" w:cs="Times New Roman"/>
          <w:sz w:val="32"/>
          <w:szCs w:val="32"/>
        </w:rPr>
        <w:t>重庆化工职业学院基本建设工程项目审计实施办法（修订）</w:t>
      </w:r>
      <w:r>
        <w:rPr>
          <w:rFonts w:hint="default" w:ascii="Times New Roman" w:hAnsi="Times New Roman" w:eastAsia="方正仿宋_GBK" w:cs="Times New Roman"/>
          <w:sz w:val="32"/>
          <w:szCs w:val="32"/>
        </w:rPr>
        <w:t>》印发给你们，请认真遵照执行。</w:t>
      </w:r>
    </w:p>
    <w:p>
      <w:pPr>
        <w:spacing w:line="579"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pPr>
        <w:spacing w:line="579" w:lineRule="exact"/>
        <w:jc w:val="center"/>
        <w:rPr>
          <w:rFonts w:hint="default" w:ascii="Times New Roman" w:hAnsi="Times New Roman" w:eastAsia="方正仿宋_GBK" w:cs="Times New Roman"/>
          <w:color w:val="auto"/>
          <w:sz w:val="32"/>
          <w:szCs w:val="32"/>
          <w:highlight w:val="none"/>
        </w:rPr>
      </w:pPr>
    </w:p>
    <w:p>
      <w:pPr>
        <w:spacing w:line="579"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重庆化工职业学院</w:t>
      </w:r>
    </w:p>
    <w:p>
      <w:pPr>
        <w:spacing w:line="579"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 xml:space="preserve">日          </w:t>
      </w:r>
    </w:p>
    <w:p>
      <w:pPr>
        <w:widowControl/>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重庆化工职业学院</w: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基本建设工程项目审计实施办法（修订）</w:t>
      </w:r>
    </w:p>
    <w:p>
      <w:pPr>
        <w:spacing w:line="579" w:lineRule="exact"/>
        <w:ind w:firstLine="880" w:firstLineChars="200"/>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spacing w:line="560" w:lineRule="exact"/>
        <w:ind w:firstLine="640" w:firstLineChars="200"/>
        <w:rPr>
          <w:rFonts w:hint="default" w:ascii="Times New Roman" w:hAnsi="Times New Roman" w:eastAsia="仿宋_GB2312"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仿宋_GB2312" w:cs="Times New Roman"/>
          <w:b/>
          <w:sz w:val="32"/>
          <w:szCs w:val="32"/>
        </w:rPr>
        <w:t xml:space="preserve">  </w:t>
      </w:r>
      <w:r>
        <w:rPr>
          <w:rFonts w:hint="default" w:ascii="Times New Roman" w:hAnsi="Times New Roman" w:eastAsia="方正仿宋_GBK" w:cs="Times New Roman"/>
          <w:sz w:val="32"/>
          <w:szCs w:val="32"/>
        </w:rPr>
        <w:t>为了规范学校基本建设工程项目（以下简称“工程项目”）的审计工作，提高审计质量，控制工程建设资金，保证工程造价的真实性和合法性，维护学校的合法利益，根据《中华人民共和国审计法》、《教育系统内部审计工作规定》、《重庆市教育委员会关于进一步严格委直属公办高校基本建设工作要求的通知》等有关文件规定，结合我校实际，制定本办法。</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本办法所称工程项目是指学校及其所属各单位以国家拨款、自筹资金、社会捐赠等投资形式进行的基本建设项目以及修缮、装饰和零星基建等工程项目。具体包括：建筑工程、装饰工程、安装工程、修缮工程、市政工程、园林绿化工程以及其它工程。</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本办法所称工程项目审计，是指学校审计处或学校委托的社会第三方机构，对学校工程项目造价的真实性、合法性及效益性所进行的审查和监督，提出审计意见，出具工程项目造价审核报告。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本办法所称工程项目造价，是指工程项目的概算、预算、结算、决算等反映工程项目价格的文件。</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本办法所称学校工程项目管理部门，是指学校内实施工程项目管理的学院、处室等部门。</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学校工程项目审计工作应接受主管部门的领导和政府各级审计机关的业务指导。</w:t>
      </w:r>
    </w:p>
    <w:p>
      <w:pPr>
        <w:spacing w:line="560" w:lineRule="exact"/>
        <w:ind w:firstLine="640" w:firstLineChars="20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第二章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审计类型及方式</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工程项目审计类型包括预算审核、全过程跟踪审计、竣工结算审计和竣工财务决算审计。</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z w:val="32"/>
          <w:szCs w:val="32"/>
        </w:rPr>
        <w:t>工程项目审计采用内部审计与社会审计相结合的方式，其中</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rPr>
        <w:t>万元以下的工程项目由工程项目管理部门按要求自行审核，</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0万元（含）以上的工程项目应由审计处或委托社会第三方机构进行审计。委托社会第三方机构审核的工程项目造价，审计处应进行必要的复核。</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工程项目审计应按学校委托审计的程序审批，由学校审计处组织实施。其他单位和部门无权委托或变相委托社会第三方机构审计。</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工程项目预算审核，预算价在</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0万（含）以上的项目，由工程项目管理部门编制，送至审计处审核；预算价在</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0万以下的项目，由工程项目管理部门自行组织实施，审计处不定时抽审。</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工程项目结算根据项目投资金额，采用抽审、竣工结算审计和全过程跟踪审计方式：</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（一）工程造价在2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万元以下，工程项目管理部门自行审核，审计处不定时抽审。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（二）工程造价在2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万元（含）以上，应进行竣工结算审计。工程造价在2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万元（含）——</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rPr>
        <w:t>万元以内，审计处根据项目实际情况，实施阶段审计或环节审计，</w:t>
      </w:r>
      <w:r>
        <w:rPr>
          <w:rFonts w:hint="default" w:ascii="Times New Roman" w:hAnsi="Times New Roman" w:eastAsia="方正仿宋_GBK" w:cs="Times New Roman"/>
          <w:sz w:val="32"/>
          <w:szCs w:val="32"/>
        </w:rPr>
        <w:t xml:space="preserve"> 300</w:t>
      </w:r>
      <w:r>
        <w:rPr>
          <w:rFonts w:hint="default" w:ascii="Times New Roman" w:hAnsi="Times New Roman" w:eastAsia="方正仿宋_GBK" w:cs="Times New Roman"/>
          <w:sz w:val="32"/>
          <w:szCs w:val="32"/>
        </w:rPr>
        <w:t>万元（含）以上的，应实施全过程跟踪审计。</w:t>
      </w:r>
    </w:p>
    <w:p>
      <w:pPr>
        <w:spacing w:line="560" w:lineRule="exact"/>
        <w:ind w:firstLine="640" w:firstLineChars="200"/>
        <w:rPr>
          <w:rFonts w:hint="default" w:ascii="Times New Roman" w:hAnsi="Times New Roman" w:eastAsia="黑体"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根据上级相关要求进行竣工财务决算审计。</w:t>
      </w:r>
    </w:p>
    <w:p>
      <w:pPr>
        <w:spacing w:line="560" w:lineRule="exact"/>
        <w:ind w:firstLine="640" w:firstLineChars="20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职责分工</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学校相关职能部门应履行各自职责，积极配合工程项目审计工作。参与学校工程项目审计的社会第三方机构等单位应遵守学校相关规章制度。</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审计处主要职责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（一）全面负责工程项目审计的组织、实施、协调、评价等工作；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（二）根据学校年度工程项目计划，制定工程项目审计工作计划；</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（三）根据工程项目，制定审计实施方案，确定审计方式，实施工程项目审计；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（四）负责对社会第三方机构的选择、聘任工作，签订委托协议；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（五）负责监管受托的社会第三方机构履行工作职责和执业行为，确认社会第三方机构履行合同的情况。</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社会第三方机构主要职责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（一）遵照国家有关法律法规，依据合同履行工作职责，并对审计意见和审计结果承担法律责任和经济责任；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（二）做好与审计处及其他相关单位的沟通协调，确保审计工作顺利开展；</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（三）审查工程资料、进行现场踏勘，审定工程造价、出具审计意见；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（四）按要求出具审计报告。</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工程项目管理部门主要职责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（一）支持工程项目审计工作并主动接受监督；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（二）年度工程项目计划及计划调整方案等资料应及时报审计处备案；</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（三）及时向审计处提供与审计项目有关的资料，保证资料的真实、准确、完整；</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（四）及时反馈审计意见，解决争议问题；</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（五）督促施工和其他有关单位落实审计意见。</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财务处主要职责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（一）严格按照批复的预算使用项目建设资金；</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（二）按照施工合同、结算审核报告，学校相关领导签署的意见支付工程款；</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（三）完工项目结算审计后，及时编制财务决算报告；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（四）配合审计处完成竣工财务决算审计工作。</w:t>
      </w:r>
    </w:p>
    <w:p>
      <w:pPr>
        <w:spacing w:line="560" w:lineRule="exact"/>
        <w:ind w:firstLine="640" w:firstLineChars="20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第四章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审计程序及内容</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预算审核</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（一）工程项目管理部门预算编制完成后，按照学校委托社会第三方机构审计管理办法的要求，将委托审计申请表及相关资料送至审计处。</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（二）审计处或委托社会第三方机构及时进行工程项目预算审核。过程中，审计处组织对预算编制的内容进行踏勘对量审核等事宜，工程项目管理部门对审核问题进行回复。</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（三）审核结束后，审计处将预算审核报告送至工程项目管理部门。</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抽查审计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工程项目管理部门对2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万元以下的项目，在每季度末，将结算书报审计处备案，抽审比例为2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万元以下项目总数的4</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%。项目完工后1个月内，按竣工结算资料的标准，将资料报审计处备案。</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竣工结算审计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项目管理部门督促施工单位在竣工验收后，及时提交结算资料，凡送审的建设工程结算资料均须为原件（送审资料清单见附件）。工程项目管理部门应对施工单位编制的结算书及结算相关资料进行初审，提出审核意见，经项目负责人、部门负责人签字盖章后送至审计处，同时一并提交委托申请表。工程项目管理部门应对其提供资料的真实性、完整性负责，并承担因资料失实所造成的一切后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项目竣工后，施工单位应按时向工程项目管理部门提交竣工结算资料，工程项目管理部门收到结算资料后3个月内按规定程序向审计处提交完整的竣工结算资料。审计处收到完整的竣工结算资料后3个月内完成工程结算审计。未经结算审计不得办理结算手续和提前支付尾款。</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（二）审计处进行竣工结算审计。重点审查以下事项：</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1.竣工结算资料是否齐全，编制依据是否正确；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2.竣工工程内容是否符合施工合同条件要求，工程量的计算是否正确；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3.工程结算计价原则是否符合招标文件的规定或合同约定；</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4.工程计价方式及计费标准是否严格按照合同约定或相关文件规定执行；</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5.合同变更价款的计算是否真实、准确；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6.核定工程实际造价。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过程中，审计处组织对量踏勘等事宜，工程项目管理部门及施工单位对审核问题进行回复。</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（三）出具审计报告征求意见书并与工程项目管理部门和施工单位交换意见。工程项目管理部门和施工单位应在10个工作日内书面反馈，逾期视为无异议。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（四）工程项目管理部门和施工单位签字盖章确认后，审核定案并出具报告。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（五）审计结束后将竣工结算资料、竣工结算审计报告送至工程项目管理部门，工程项目管理部门按照审计结果支付工程款并做好资料归档。</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z w:val="32"/>
          <w:szCs w:val="32"/>
        </w:rPr>
        <w:t>全过程跟踪审计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项目施工合同签订后3个工作日内，按照学校委托社会第三方机构审计管理办法的要求，工程项目管理部门将委托审计申请表送至审计处。同时将工程立项报告、施工图、施工方案、施工进度计划等资料报审计处，以便工程项目过程审计工作的协作开展。</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（二）审计处委托社会第三方机构进行全过程跟踪审计。重点审核工日、台班签证，零星工程、隐蔽工程等工程量；设计变更；主要材料及设备价格；工程进度款拨付等事项。</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（三）施工结束后3个月内，工程项目管理部门将初审并经项目负责人、部门负责人签字盖章后的竣工结算书及工程相关资料送至审计处。</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（四）社会第三方机构进行竣工结算审计，出具审计报告征求意见书，并与工程项目管理部门和施工单位交换意见。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（五）工程项目管理部门和施工单位签字盖章确认后，审核定案并出具全过程跟踪审计报告。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（六）跟踪审计结束后，将跟踪审计报告送至工程项目管理部门。</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对工程造价</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rPr>
        <w:t>万元（含）以上的项目，跟踪审计完成后，根据上级相关要求，审计处将按照学校采购制度要求，委托社会第三方机构对该工程项目实施二次审计，并出具结算审计报告，工程项目管理部门按照二次审计结果支付工程款并做好资料归档。</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竣工财务决算审计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务处完成竣工财务决算后，按照学校委托社会第三方机构审计管理办法的要求，将委托审计申请表送至审计处。同时提交以下送审资料：竣工财务决算报表、竣工财务决算说明书、竣工财务决算审核情况及相关资料等。</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（二）审计处委托社会第三方机构进行竣工财务决算审计。在竣工结算审计的基础上，重点审查下列事项：</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1.审查竣工财务决算资料是否齐全，编制依据是否适当；</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2.审查工程项目是否按批准的概算执行，有无提高建筑标准和扩大建筑面积；</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3.审查建设成本核算是否真实、准确；</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4.核实项目资金来源、运用与结余情况；</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5.审查工程项目竣工财务决算报表的真实性、完整性；</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6.审查工程项目从筹建、施工到竣工、交付使用的全部费用开支；</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7.审定项目全过程建设造价。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（三）审计结束后，审计处将竣工财务决算审计报告送至财务处。</w:t>
      </w:r>
    </w:p>
    <w:p>
      <w:p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审计服务费及奖惩</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委托社会第三方机构审计的工程项目，按重庆市物价局核定的收费标准计费为依据，审计服务费若达到学校采购标准，应按照采购规定执行。</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基建工程项目在未办理结算之前，预付工程款总额不得超过工程投资总额的8</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对在工程项目审计中，坚持原则、严格依法履行职责、做出显著成绩的审计人员，学校应给予表彰和奖励。</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学校应保护审计人员依法行使工程审计职权。对阻挠、拒绝审计或不如实提供资料、滥用职权、玩忽职守、弄虚作假的行为，学校依法追究有关单位及人员的责任。</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审计人员在审计工作中要做到客观公正、实事求是、廉洁奉公。对严重违反国家法律法规和学校规章制度造成重大经济损失的有关责任人，由学校按相关规定进行处理。</w:t>
      </w:r>
    </w:p>
    <w:p>
      <w:pPr>
        <w:spacing w:line="56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附  则</w:t>
      </w:r>
    </w:p>
    <w:p>
      <w:pPr>
        <w:spacing w:line="560" w:lineRule="exact"/>
        <w:ind w:firstLine="640" w:firstLineChars="200"/>
        <w:rPr>
          <w:rFonts w:hint="default" w:ascii="Times New Roman" w:hAnsi="Times New Roman" w:eastAsia="仿宋_GB2312"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学校有关单位应当积极支持和配合审计处开展工程项目的审计工作。</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审计过程中发现的突出或重大问题以及审计的终结情况，审计处应及时向学校报告。</w:t>
      </w:r>
    </w:p>
    <w:p>
      <w:pPr>
        <w:spacing w:line="560" w:lineRule="exact"/>
        <w:ind w:firstLine="640" w:firstLineChars="200"/>
        <w:rPr>
          <w:rFonts w:hint="default" w:ascii="Times New Roman" w:hAnsi="Times New Roman" w:eastAsia="仿宋_GB2312"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 xml:space="preserve">本办法由学校审计处负责解释。 </w:t>
      </w:r>
    </w:p>
    <w:p>
      <w:pPr>
        <w:spacing w:line="56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本办法自发布之日起施行。原《重庆化工职业学院基建修缮工程项目审计规定》（渝化职院〔201</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33</w:t>
      </w:r>
      <w:r>
        <w:rPr>
          <w:rFonts w:hint="default" w:ascii="Times New Roman" w:hAnsi="Times New Roman" w:eastAsia="方正仿宋_GBK" w:cs="Times New Roman"/>
          <w:sz w:val="32"/>
          <w:szCs w:val="32"/>
        </w:rPr>
        <w:t>号）同时废止。</w:t>
      </w:r>
    </w:p>
    <w:p>
      <w:pPr>
        <w:spacing w:line="579"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工程项目结算资料送审清单</w:t>
      </w:r>
    </w:p>
    <w:p>
      <w:pPr>
        <w:spacing w:line="579" w:lineRule="exact"/>
        <w:rPr>
          <w:rFonts w:hint="default" w:ascii="Times New Roman" w:hAnsi="Times New Roman" w:eastAsia="仿宋_GB2312" w:cs="Times New Roman"/>
          <w:sz w:val="32"/>
          <w:szCs w:val="32"/>
        </w:rPr>
      </w:pP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工程项目立项报告、立项批复、概算批复或相关立项审批材料；</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招标文件、招标清单、招标控制价、投标文件、投标清单以及相应的电子版；</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工程承包合同或协议；</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承包人编制的《建设工程造价结算书》及电子版（加盖承包人公章和造价编制人员资格证章）；</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中标通知书、施工许可证、开工报告、工程项目竣工验收全套资料、施工企业资质证明、监理报告、隐蔽工程验收记录、安全文明施工验收合格证书、建设工程结算审计资料责任承诺书；</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施工图、竣工图纸质版及电子版；</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经监理单位和建设单位审定的施工组织设计或施工方案； </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图纸会审纪要、设计变更单、技术核定单、现场签证单、材料（设备）认价单、材料检验报告；</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办理结算审核需要的其它资料。</w:t>
      </w:r>
    </w:p>
    <w:p>
      <w:pPr>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bookmarkStart w:id="1" w:name="_GoBack"/>
      <w:bookmarkEnd w:id="1"/>
    </w:p>
    <w:tbl>
      <w:tblPr>
        <w:tblStyle w:val="8"/>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重庆化工职业学院党政办公室</w:t>
            </w:r>
          </w:p>
        </w:tc>
        <w:tc>
          <w:tcPr>
            <w:tcW w:w="4489" w:type="dxa"/>
            <w:vAlign w:val="center"/>
          </w:tcPr>
          <w:p>
            <w:pPr>
              <w:ind w:right="276"/>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16</w:t>
            </w:r>
            <w:r>
              <w:rPr>
                <w:rFonts w:hint="default" w:ascii="Times New Roman" w:hAnsi="Times New Roman" w:eastAsia="方正仿宋_GBK" w:cs="Times New Roman"/>
                <w:color w:val="auto"/>
                <w:sz w:val="28"/>
                <w:szCs w:val="28"/>
                <w:highlight w:val="none"/>
              </w:rPr>
              <w:t>日印发</w:t>
            </w:r>
          </w:p>
        </w:tc>
      </w:tr>
    </w:tbl>
    <w:p>
      <w:pPr>
        <w:spacing w:line="579" w:lineRule="exact"/>
        <w:jc w:val="left"/>
        <w:rPr>
          <w:rFonts w:hint="default" w:ascii="Times New Roman" w:hAnsi="Times New Roman" w:eastAsia="方正仿宋_GBK" w:cs="Times New Roman"/>
          <w:color w:val="auto"/>
          <w:sz w:val="32"/>
          <w:szCs w:val="32"/>
          <w:highlight w:val="none"/>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4737E0-8558-4352-9E09-95E9854792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2" w:fontKey="{01082CB5-6628-493D-B0C7-E526DB99284C}"/>
  </w:font>
  <w:font w:name="方正小标宋_GBK">
    <w:panose1 w:val="03000509000000000000"/>
    <w:charset w:val="86"/>
    <w:family w:val="script"/>
    <w:pitch w:val="default"/>
    <w:sig w:usb0="00000001" w:usb1="080E0000" w:usb2="00000000" w:usb3="00000000" w:csb0="00040000" w:csb1="00000000"/>
    <w:embedRegular r:id="rId3" w:fontKey="{66414EBD-EEFA-4CF3-B25C-D33CF22ADFEE}"/>
  </w:font>
  <w:font w:name="方正小标宋简体">
    <w:panose1 w:val="02000000000000000000"/>
    <w:charset w:val="86"/>
    <w:family w:val="auto"/>
    <w:pitch w:val="default"/>
    <w:sig w:usb0="00000001" w:usb1="08000000" w:usb2="00000000" w:usb3="00000000" w:csb0="00040000" w:csb1="00000000"/>
    <w:embedRegular r:id="rId4" w:fontKey="{E3A5205F-A6A4-431B-8901-EA66615FE956}"/>
  </w:font>
  <w:font w:name="方正黑体_GBK">
    <w:panose1 w:val="03000509000000000000"/>
    <w:charset w:val="86"/>
    <w:family w:val="script"/>
    <w:pitch w:val="default"/>
    <w:sig w:usb0="00000001" w:usb1="080E0000" w:usb2="00000000" w:usb3="00000000" w:csb0="00040000" w:csb1="00000000"/>
    <w:embedRegular r:id="rId5" w:fontKey="{413DBA60-DBEC-4EF5-9428-3AFB11EEFDED}"/>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0D397685-BD0C-4059-915D-1C3917D618FB}"/>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138453566"/>
      <w:docPartObj>
        <w:docPartGallery w:val="autotext"/>
      </w:docPartObj>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5"/>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965018772"/>
      <w:docPartObj>
        <w:docPartGallery w:val="autotext"/>
      </w:docPartObj>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5"/>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E958AB"/>
    <w:rsid w:val="00093C8B"/>
    <w:rsid w:val="00096293"/>
    <w:rsid w:val="000B76F4"/>
    <w:rsid w:val="000E0A14"/>
    <w:rsid w:val="00113B81"/>
    <w:rsid w:val="00114F8D"/>
    <w:rsid w:val="001167B9"/>
    <w:rsid w:val="001258A2"/>
    <w:rsid w:val="00131555"/>
    <w:rsid w:val="00146283"/>
    <w:rsid w:val="0018716C"/>
    <w:rsid w:val="001A153B"/>
    <w:rsid w:val="001B0C57"/>
    <w:rsid w:val="001C6CD5"/>
    <w:rsid w:val="001F3442"/>
    <w:rsid w:val="00201F76"/>
    <w:rsid w:val="0021439B"/>
    <w:rsid w:val="002164A8"/>
    <w:rsid w:val="002379C6"/>
    <w:rsid w:val="002479EF"/>
    <w:rsid w:val="002811E9"/>
    <w:rsid w:val="002A3419"/>
    <w:rsid w:val="002B1EAA"/>
    <w:rsid w:val="002B4E1D"/>
    <w:rsid w:val="002F38F3"/>
    <w:rsid w:val="00332349"/>
    <w:rsid w:val="00373F81"/>
    <w:rsid w:val="00383F31"/>
    <w:rsid w:val="003A44C1"/>
    <w:rsid w:val="003E24E9"/>
    <w:rsid w:val="003F2353"/>
    <w:rsid w:val="004819C8"/>
    <w:rsid w:val="004A7A61"/>
    <w:rsid w:val="00510A37"/>
    <w:rsid w:val="00530E7D"/>
    <w:rsid w:val="00571C56"/>
    <w:rsid w:val="005722DC"/>
    <w:rsid w:val="0057300F"/>
    <w:rsid w:val="005C66C7"/>
    <w:rsid w:val="005D0405"/>
    <w:rsid w:val="0060739E"/>
    <w:rsid w:val="00627375"/>
    <w:rsid w:val="0063461C"/>
    <w:rsid w:val="00643000"/>
    <w:rsid w:val="00684D3D"/>
    <w:rsid w:val="006E07AB"/>
    <w:rsid w:val="00712980"/>
    <w:rsid w:val="00717885"/>
    <w:rsid w:val="00730703"/>
    <w:rsid w:val="007459E6"/>
    <w:rsid w:val="00751418"/>
    <w:rsid w:val="00755305"/>
    <w:rsid w:val="00764F14"/>
    <w:rsid w:val="00777642"/>
    <w:rsid w:val="007C3C1C"/>
    <w:rsid w:val="007F6557"/>
    <w:rsid w:val="008930F4"/>
    <w:rsid w:val="008D5222"/>
    <w:rsid w:val="008D7DBC"/>
    <w:rsid w:val="008E1E66"/>
    <w:rsid w:val="008E2DEF"/>
    <w:rsid w:val="0090798F"/>
    <w:rsid w:val="00910B48"/>
    <w:rsid w:val="00930C80"/>
    <w:rsid w:val="00942942"/>
    <w:rsid w:val="009702B3"/>
    <w:rsid w:val="00977046"/>
    <w:rsid w:val="009D2B59"/>
    <w:rsid w:val="009E678E"/>
    <w:rsid w:val="00A23FA7"/>
    <w:rsid w:val="00A35490"/>
    <w:rsid w:val="00A46E31"/>
    <w:rsid w:val="00A94807"/>
    <w:rsid w:val="00A95733"/>
    <w:rsid w:val="00AA7F92"/>
    <w:rsid w:val="00AC14E4"/>
    <w:rsid w:val="00AD095C"/>
    <w:rsid w:val="00B0197C"/>
    <w:rsid w:val="00B51EC0"/>
    <w:rsid w:val="00B6036C"/>
    <w:rsid w:val="00B63CAB"/>
    <w:rsid w:val="00B91FB5"/>
    <w:rsid w:val="00B95E4F"/>
    <w:rsid w:val="00BF577B"/>
    <w:rsid w:val="00BF7E75"/>
    <w:rsid w:val="00C0589B"/>
    <w:rsid w:val="00C274AC"/>
    <w:rsid w:val="00C40852"/>
    <w:rsid w:val="00C754FF"/>
    <w:rsid w:val="00CF051B"/>
    <w:rsid w:val="00D25907"/>
    <w:rsid w:val="00D35A19"/>
    <w:rsid w:val="00D95551"/>
    <w:rsid w:val="00DA6BED"/>
    <w:rsid w:val="00DF7FCB"/>
    <w:rsid w:val="00E51503"/>
    <w:rsid w:val="00E716B8"/>
    <w:rsid w:val="00E8420D"/>
    <w:rsid w:val="00E90C01"/>
    <w:rsid w:val="00E94A08"/>
    <w:rsid w:val="00E958AB"/>
    <w:rsid w:val="00EB3842"/>
    <w:rsid w:val="00EC4FD1"/>
    <w:rsid w:val="00F009F1"/>
    <w:rsid w:val="00F0543A"/>
    <w:rsid w:val="00F145D8"/>
    <w:rsid w:val="00F33A55"/>
    <w:rsid w:val="00F92E3E"/>
    <w:rsid w:val="00FB35C5"/>
    <w:rsid w:val="00FD771B"/>
    <w:rsid w:val="049038AD"/>
    <w:rsid w:val="0C6E18D7"/>
    <w:rsid w:val="12FF34FF"/>
    <w:rsid w:val="133035C7"/>
    <w:rsid w:val="13434FA3"/>
    <w:rsid w:val="16983B85"/>
    <w:rsid w:val="16C66DAA"/>
    <w:rsid w:val="17742506"/>
    <w:rsid w:val="1D295B40"/>
    <w:rsid w:val="1F0E1492"/>
    <w:rsid w:val="30640DE5"/>
    <w:rsid w:val="3199337B"/>
    <w:rsid w:val="320F30FF"/>
    <w:rsid w:val="35C264B8"/>
    <w:rsid w:val="3ADE5D64"/>
    <w:rsid w:val="3C245989"/>
    <w:rsid w:val="42293D69"/>
    <w:rsid w:val="49BE1068"/>
    <w:rsid w:val="4D045ABE"/>
    <w:rsid w:val="51650E74"/>
    <w:rsid w:val="51E47B8F"/>
    <w:rsid w:val="55816518"/>
    <w:rsid w:val="60386A8A"/>
    <w:rsid w:val="68757459"/>
    <w:rsid w:val="69AD6566"/>
    <w:rsid w:val="6C475418"/>
    <w:rsid w:val="6C586E75"/>
    <w:rsid w:val="7376008C"/>
    <w:rsid w:val="774D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Emphasis"/>
    <w:basedOn w:val="9"/>
    <w:qFormat/>
    <w:uiPriority w:val="20"/>
    <w:rPr>
      <w:i/>
      <w:iCs/>
    </w:rPr>
  </w:style>
  <w:style w:type="character" w:customStyle="1" w:styleId="12">
    <w:name w:val="标题 2 字符"/>
    <w:basedOn w:val="9"/>
    <w:link w:val="2"/>
    <w:qFormat/>
    <w:uiPriority w:val="9"/>
    <w:rPr>
      <w:rFonts w:ascii="宋体" w:hAnsi="宋体" w:eastAsia="宋体" w:cs="宋体"/>
      <w:b/>
      <w:bCs/>
      <w:kern w:val="0"/>
      <w:sz w:val="36"/>
      <w:szCs w:val="36"/>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9"/>
    <w:link w:val="3"/>
    <w:semiHidden/>
    <w:qFormat/>
    <w:uiPriority w:val="99"/>
  </w:style>
  <w:style w:type="paragraph" w:customStyle="1" w:styleId="18">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422</Words>
  <Characters>2406</Characters>
  <Lines>20</Lines>
  <Paragraphs>5</Paragraphs>
  <TotalTime>2</TotalTime>
  <ScaleCrop>false</ScaleCrop>
  <LinksUpToDate>false</LinksUpToDate>
  <CharactersWithSpaces>2823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2022-06-08T02:45:00Z</dcterms:created>
  <dc:creator>熊凤</dc:creator>
  <cp:lastModifiedBy>彭文伶</cp:lastModifiedBy>
  <cp:lastPrinted>2023-06-29T06:36:00Z</cp:lastPrinted>
  <dcterms:modified xsi:type="dcterms:W3CDTF">2023-10-16T09:02:47Z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D9D518784A2E42BF8D62A0FE14B0720D_12</vt:lpwstr>
  </property>
</Properties>
</file>