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方正仿宋_GBK" w:cs="Times New Roman"/>
          <w:color w:val="auto"/>
          <w:sz w:val="32"/>
          <w:szCs w:val="32"/>
          <w:highlight w:val="none"/>
        </w:rPr>
      </w:pPr>
    </w:p>
    <w:p>
      <w:pPr>
        <w:spacing w:line="600" w:lineRule="exact"/>
        <w:rPr>
          <w:rFonts w:hint="default" w:ascii="Times New Roman" w:hAnsi="Times New Roman" w:eastAsia="方正仿宋_GBK" w:cs="Times New Roman"/>
          <w:color w:val="auto"/>
          <w:sz w:val="32"/>
          <w:szCs w:val="32"/>
          <w:highlight w:val="none"/>
        </w:rPr>
      </w:pPr>
    </w:p>
    <w:p>
      <w:pPr>
        <w:spacing w:line="600" w:lineRule="exact"/>
        <w:rPr>
          <w:rFonts w:hint="default" w:ascii="Times New Roman" w:hAnsi="Times New Roman" w:eastAsia="方正仿宋_GBK" w:cs="Times New Roman"/>
          <w:color w:val="auto"/>
          <w:sz w:val="32"/>
          <w:szCs w:val="32"/>
          <w:highlight w:val="none"/>
        </w:rPr>
      </w:pPr>
    </w:p>
    <w:p>
      <w:pPr>
        <w:spacing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60288" behindDoc="0" locked="0" layoutInCell="1" allowOverlap="1">
                <wp:simplePos x="0" y="0"/>
                <wp:positionH relativeFrom="margin">
                  <wp:posOffset>-635</wp:posOffset>
                </wp:positionH>
                <wp:positionV relativeFrom="paragraph">
                  <wp:posOffset>66040</wp:posOffset>
                </wp:positionV>
                <wp:extent cx="5615940" cy="1036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615940" cy="1036955"/>
                        </a:xfrm>
                        <a:prstGeom prst="rect">
                          <a:avLst/>
                        </a:prstGeom>
                        <a:noFill/>
                        <a:ln>
                          <a:noFill/>
                        </a:ln>
                        <a:effectLst/>
                      </wps:spPr>
                      <wps:txbx>
                        <w:txbxContent>
                          <w:p>
                            <w:pPr>
                              <w:jc w:val="center"/>
                              <w:rPr>
                                <w:sz w:val="106"/>
                                <w:szCs w:val="106"/>
                              </w:rPr>
                            </w:pPr>
                            <w:r>
                              <w:rPr>
                                <w:rFonts w:hint="eastAsia" w:eastAsia="方正小标宋_GBK"/>
                                <w:bCs/>
                                <w:color w:val="FF0000"/>
                                <w:spacing w:val="1"/>
                                <w:w w:val="96"/>
                                <w:kern w:val="0"/>
                                <w:sz w:val="106"/>
                                <w:szCs w:val="106"/>
                                <w:fitText w:val="8190" w:id="1805515008"/>
                              </w:rPr>
                              <w:t>重庆化工</w:t>
                            </w:r>
                            <w:r>
                              <w:rPr>
                                <w:rFonts w:eastAsia="方正小标宋_GBK"/>
                                <w:bCs/>
                                <w:color w:val="FF0000"/>
                                <w:spacing w:val="1"/>
                                <w:w w:val="96"/>
                                <w:kern w:val="0"/>
                                <w:sz w:val="106"/>
                                <w:szCs w:val="106"/>
                                <w:fitText w:val="8190" w:id="1805515008"/>
                              </w:rPr>
                              <w:t>职业学</w:t>
                            </w:r>
                            <w:r>
                              <w:rPr>
                                <w:rFonts w:eastAsia="方正小标宋_GBK"/>
                                <w:bCs/>
                                <w:color w:val="FF0000"/>
                                <w:spacing w:val="47"/>
                                <w:w w:val="96"/>
                                <w:kern w:val="0"/>
                                <w:sz w:val="106"/>
                                <w:szCs w:val="106"/>
                                <w:fitText w:val="8190" w:id="1805515008"/>
                              </w:rPr>
                              <w:t>院</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0.05pt;margin-top:5.2pt;height:81.65pt;width:442.2pt;mso-position-horizontal-relative:margin;z-index:251660288;v-text-anchor:middle;mso-width-relative:page;mso-height-relative:page;" filled="f" stroked="f" coordsize="21600,21600" o:gfxdata="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2wrXHXAAAACAEAAA8AAAAAAAAAAQAgAAAAIgAAAGRycy9kb3du&#10;cmV2LnhtbFBLAQIUABQAAAAIAIdO4kBu7c+iOQIAAG4EAAAOAAAAAAAAAAEAIAAAACYBAABkcnMv&#10;ZTJvRG9jLnhtbFBLBQYAAAAABgAGAFkBAADRBQAAAAA=&#10;">
                <v:fill on="f" focussize="0,0"/>
                <v:stroke on="f"/>
                <v:imagedata o:title=""/>
                <o:lock v:ext="edit" aspectratio="f"/>
                <v:textbox>
                  <w:txbxContent>
                    <w:p>
                      <w:pPr>
                        <w:jc w:val="center"/>
                        <w:rPr>
                          <w:sz w:val="106"/>
                          <w:szCs w:val="106"/>
                        </w:rPr>
                      </w:pPr>
                      <w:r>
                        <w:rPr>
                          <w:rFonts w:hint="eastAsia" w:eastAsia="方正小标宋_GBK"/>
                          <w:bCs/>
                          <w:color w:val="FF0000"/>
                          <w:spacing w:val="1"/>
                          <w:w w:val="96"/>
                          <w:kern w:val="0"/>
                          <w:sz w:val="106"/>
                          <w:szCs w:val="106"/>
                          <w:fitText w:val="8190" w:id="1805515008"/>
                        </w:rPr>
                        <w:t>重庆化工</w:t>
                      </w:r>
                      <w:r>
                        <w:rPr>
                          <w:rFonts w:eastAsia="方正小标宋_GBK"/>
                          <w:bCs/>
                          <w:color w:val="FF0000"/>
                          <w:spacing w:val="1"/>
                          <w:w w:val="96"/>
                          <w:kern w:val="0"/>
                          <w:sz w:val="106"/>
                          <w:szCs w:val="106"/>
                          <w:fitText w:val="8190" w:id="1805515008"/>
                        </w:rPr>
                        <w:t>职业学</w:t>
                      </w:r>
                      <w:r>
                        <w:rPr>
                          <w:rFonts w:eastAsia="方正小标宋_GBK"/>
                          <w:bCs/>
                          <w:color w:val="FF0000"/>
                          <w:spacing w:val="47"/>
                          <w:w w:val="96"/>
                          <w:kern w:val="0"/>
                          <w:sz w:val="106"/>
                          <w:szCs w:val="106"/>
                          <w:fitText w:val="8190" w:id="1805515008"/>
                        </w:rPr>
                        <w:t>院</w:t>
                      </w:r>
                    </w:p>
                  </w:txbxContent>
                </v:textbox>
              </v:shape>
            </w:pict>
          </mc:Fallback>
        </mc:AlternateContent>
      </w:r>
    </w:p>
    <w:p>
      <w:pPr>
        <w:spacing w:line="540" w:lineRule="auto"/>
        <w:rPr>
          <w:rFonts w:hint="default" w:ascii="Times New Roman" w:hAnsi="Times New Roman" w:eastAsia="方正仿宋_GBK" w:cs="Times New Roman"/>
          <w:color w:val="auto"/>
          <w:sz w:val="32"/>
          <w:szCs w:val="32"/>
          <w:highlight w:val="none"/>
        </w:rPr>
      </w:pPr>
    </w:p>
    <w:p>
      <w:pPr>
        <w:spacing w:line="540" w:lineRule="auto"/>
        <w:rPr>
          <w:rFonts w:hint="default" w:ascii="Times New Roman" w:hAnsi="Times New Roman" w:eastAsia="方正仿宋_GBK" w:cs="Times New Roman"/>
          <w:color w:val="auto"/>
          <w:sz w:val="32"/>
          <w:szCs w:val="32"/>
          <w:highlight w:val="none"/>
        </w:rPr>
      </w:pPr>
    </w:p>
    <w:p>
      <w:pPr>
        <w:spacing w:line="540" w:lineRule="auto"/>
        <w:rPr>
          <w:rFonts w:hint="default" w:ascii="Times New Roman" w:hAnsi="Times New Roman" w:eastAsia="方正仿宋_GBK" w:cs="Times New Roman"/>
          <w:color w:val="auto"/>
          <w:sz w:val="32"/>
          <w:szCs w:val="32"/>
          <w:highlight w:val="none"/>
        </w:rPr>
      </w:pPr>
    </w:p>
    <w:tbl>
      <w:tblPr>
        <w:tblStyle w:val="11"/>
        <w:tblW w:w="8845" w:type="dxa"/>
        <w:tblInd w:w="0" w:type="dxa"/>
        <w:tblLayout w:type="fixed"/>
        <w:tblCellMar>
          <w:top w:w="0" w:type="dxa"/>
          <w:left w:w="108" w:type="dxa"/>
          <w:bottom w:w="0" w:type="dxa"/>
          <w:right w:w="108" w:type="dxa"/>
        </w:tblCellMar>
      </w:tblPr>
      <w:tblGrid>
        <w:gridCol w:w="8845"/>
      </w:tblGrid>
      <w:tr>
        <w:tblPrEx>
          <w:tblCellMar>
            <w:top w:w="0" w:type="dxa"/>
            <w:left w:w="108" w:type="dxa"/>
            <w:bottom w:w="0" w:type="dxa"/>
            <w:right w:w="108" w:type="dxa"/>
          </w:tblCellMar>
        </w:tblPrEx>
        <w:tc>
          <w:tcPr>
            <w:tcW w:w="8845" w:type="dxa"/>
            <w:shd w:val="clear" w:color="auto" w:fill="auto"/>
          </w:tcPr>
          <w:p>
            <w:pPr>
              <w:spacing w:line="600" w:lineRule="exact"/>
              <w:jc w:val="center"/>
              <w:rPr>
                <w:rFonts w:hint="default" w:ascii="Times New Roman" w:hAnsi="Times New Roman" w:eastAsia="方正仿宋_GBK" w:cs="Times New Roman"/>
                <w:color w:val="auto"/>
                <w:sz w:val="32"/>
                <w:szCs w:val="32"/>
                <w:highlight w:val="none"/>
              </w:rPr>
            </w:pPr>
            <w:bookmarkStart w:id="0" w:name="doc_mark"/>
            <w:r>
              <w:rPr>
                <w:rFonts w:hint="default" w:ascii="Times New Roman" w:hAnsi="Times New Roman" w:eastAsia="方正仿宋_GBK" w:cs="Times New Roman"/>
                <w:color w:val="auto"/>
                <w:sz w:val="32"/>
                <w:szCs w:val="32"/>
                <w:highlight w:val="none"/>
              </w:rPr>
              <w:t>渝化职院〔202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val="en-US" w:eastAsia="zh-CN"/>
              </w:rPr>
              <w:t>10</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号</w:t>
            </w:r>
            <w:bookmarkEnd w:id="0"/>
          </w:p>
        </w:tc>
      </w:tr>
    </w:tbl>
    <w:p>
      <w:pPr>
        <w:spacing w:line="600" w:lineRule="exact"/>
        <w:rPr>
          <w:rFonts w:hint="default" w:ascii="Times New Roman" w:hAnsi="Times New Roman" w:eastAsia="方正仿宋_GBK" w:cs="Times New Roman"/>
          <w:color w:val="auto"/>
          <w:sz w:val="32"/>
          <w:szCs w:val="32"/>
          <w:highlight w:val="none"/>
        </w:rPr>
      </w:pPr>
      <w:r>
        <w:rPr>
          <w:rFonts w:hint="default" w:ascii="Times New Roman" w:hAnsi="Times New Roman" w:cs="Times New Roman"/>
          <w:color w:val="auto"/>
          <w:highlight w:val="none"/>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100330</wp:posOffset>
                </wp:positionV>
                <wp:extent cx="5615940" cy="0"/>
                <wp:effectExtent l="0" t="0" r="2286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flipV="1">
                          <a:off x="0" y="0"/>
                          <a:ext cx="5615940" cy="0"/>
                        </a:xfrm>
                        <a:prstGeom prst="line">
                          <a:avLst/>
                        </a:prstGeom>
                        <a:noFill/>
                        <a:ln w="25400">
                          <a:solidFill>
                            <a:srgbClr val="FF0000"/>
                          </a:solidFill>
                          <a:round/>
                        </a:ln>
                      </wps:spPr>
                      <wps:bodyPr/>
                    </wps:wsp>
                  </a:graphicData>
                </a:graphic>
              </wp:anchor>
            </w:drawing>
          </mc:Choice>
          <mc:Fallback>
            <w:pict>
              <v:line id="_x0000_s1026" o:spid="_x0000_s1026" o:spt="20" style="position:absolute;left:0pt;flip:y;margin-left:0pt;margin-top:7.9pt;height:0pt;width:442.2pt;mso-position-horizontal-relative:margin;z-index:251659264;mso-width-relative:page;mso-height-relative:page;" filled="f" stroked="t" coordsize="21600,21600" o:gfxdata="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PuCIoTS&#10;AAAABgEAAA8AAAAAAAAAAQAgAAAAIgAAAGRycy9kb3ducmV2LnhtbFBLAQIUABQAAAAIAIdO4kB3&#10;T9Yu7QEAALUDAAAOAAAAAAAAAAEAIAAAACEBAABkcnMvZTJvRG9jLnhtbFBLBQYAAAAABgAGAFkB&#10;AACABQAAAAA=&#10;">
                <v:fill on="f" focussize="0,0"/>
                <v:stroke weight="2pt" color="#FF0000" joinstyle="round"/>
                <v:imagedata o:title=""/>
                <o:lock v:ext="edit" aspectratio="f"/>
              </v:line>
            </w:pict>
          </mc:Fallback>
        </mc:AlternateContent>
      </w:r>
    </w:p>
    <w:p>
      <w:pPr>
        <w:spacing w:line="579"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重庆化工职业学院</w:t>
      </w:r>
    </w:p>
    <w:p>
      <w:pPr>
        <w:spacing w:line="579"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关于</w:t>
      </w:r>
      <w:r>
        <w:rPr>
          <w:rFonts w:hint="default" w:ascii="Times New Roman" w:hAnsi="Times New Roman" w:eastAsia="方正小标宋_GBK" w:cs="Times New Roman"/>
          <w:color w:val="auto"/>
          <w:sz w:val="44"/>
          <w:szCs w:val="44"/>
          <w:highlight w:val="none"/>
          <w:lang w:val="en-US" w:eastAsia="zh-CN"/>
        </w:rPr>
        <w:t>印发非学历教育管理实施办法</w:t>
      </w:r>
      <w:r>
        <w:rPr>
          <w:rFonts w:hint="default" w:ascii="Times New Roman" w:hAnsi="Times New Roman" w:eastAsia="方正小标宋_GBK" w:cs="Times New Roman"/>
          <w:color w:val="auto"/>
          <w:sz w:val="44"/>
          <w:szCs w:val="44"/>
          <w:highlight w:val="none"/>
        </w:rPr>
        <w:t>的</w:t>
      </w:r>
    </w:p>
    <w:p>
      <w:pPr>
        <w:spacing w:line="579"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_GBK" w:cs="Times New Roman"/>
          <w:color w:val="auto"/>
          <w:sz w:val="44"/>
          <w:szCs w:val="44"/>
          <w:highlight w:val="none"/>
        </w:rPr>
        <w:t>通</w:t>
      </w:r>
      <w:r>
        <w:rPr>
          <w:rFonts w:hint="default" w:ascii="Times New Roman" w:hAnsi="Times New Roman" w:eastAsia="方正小标宋_GBK" w:cs="Times New Roman"/>
          <w:color w:val="auto"/>
          <w:sz w:val="44"/>
          <w:szCs w:val="44"/>
          <w:highlight w:val="none"/>
          <w:lang w:val="en-US" w:eastAsia="zh-CN"/>
        </w:rPr>
        <w:t xml:space="preserve">  </w:t>
      </w:r>
      <w:r>
        <w:rPr>
          <w:rFonts w:hint="default" w:ascii="Times New Roman" w:hAnsi="Times New Roman" w:eastAsia="方正小标宋_GBK" w:cs="Times New Roman"/>
          <w:color w:val="auto"/>
          <w:sz w:val="44"/>
          <w:szCs w:val="44"/>
          <w:highlight w:val="none"/>
        </w:rPr>
        <w:t>知</w:t>
      </w:r>
    </w:p>
    <w:p>
      <w:pPr>
        <w:spacing w:line="579" w:lineRule="exac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各部门、各单位：</w:t>
      </w:r>
    </w:p>
    <w:p>
      <w:pPr>
        <w:spacing w:line="579" w:lineRule="exact"/>
        <w:ind w:firstLine="87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现将《重庆化工职业学院非学历教育管理实施办法》印发给你们，请认真遵照执行。</w:t>
      </w:r>
    </w:p>
    <w:p>
      <w:pPr>
        <w:spacing w:line="579" w:lineRule="exact"/>
        <w:ind w:firstLine="870"/>
        <w:rPr>
          <w:rFonts w:hint="default" w:ascii="Times New Roman" w:hAnsi="Times New Roman" w:eastAsia="方正仿宋_GBK" w:cs="Times New Roman"/>
          <w:sz w:val="32"/>
          <w:szCs w:val="32"/>
        </w:rPr>
      </w:pPr>
    </w:p>
    <w:p>
      <w:pPr>
        <w:spacing w:line="579" w:lineRule="exact"/>
        <w:ind w:firstLine="870"/>
        <w:rPr>
          <w:rFonts w:hint="default" w:ascii="Times New Roman" w:hAnsi="Times New Roman" w:eastAsia="方正仿宋_GBK" w:cs="Times New Roman"/>
          <w:sz w:val="32"/>
          <w:szCs w:val="32"/>
        </w:rPr>
      </w:pPr>
    </w:p>
    <w:p>
      <w:pPr>
        <w:spacing w:line="579"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重庆化工职业学院</w:t>
      </w:r>
    </w:p>
    <w:p>
      <w:pPr>
        <w:spacing w:line="579" w:lineRule="exact"/>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202</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rPr>
        <w:t>年</w:t>
      </w:r>
      <w:r>
        <w:rPr>
          <w:rFonts w:hint="default" w:ascii="Times New Roman" w:hAnsi="Times New Roman" w:eastAsia="方正仿宋_GBK" w:cs="Times New Roman"/>
          <w:color w:val="auto"/>
          <w:sz w:val="32"/>
          <w:szCs w:val="32"/>
          <w:highlight w:val="none"/>
          <w:lang w:val="en-US" w:eastAsia="zh-CN"/>
        </w:rPr>
        <w:t>10</w:t>
      </w:r>
      <w:r>
        <w:rPr>
          <w:rFonts w:hint="default" w:ascii="Times New Roman" w:hAnsi="Times New Roman" w:eastAsia="方正仿宋_GBK" w:cs="Times New Roman"/>
          <w:color w:val="auto"/>
          <w:sz w:val="32"/>
          <w:szCs w:val="32"/>
          <w:highlight w:val="none"/>
        </w:rPr>
        <w:t>月</w:t>
      </w:r>
      <w:r>
        <w:rPr>
          <w:rFonts w:hint="default" w:ascii="Times New Roman" w:hAnsi="Times New Roman" w:eastAsia="方正仿宋_GBK" w:cs="Times New Roman"/>
          <w:color w:val="auto"/>
          <w:sz w:val="32"/>
          <w:szCs w:val="32"/>
          <w:highlight w:val="none"/>
          <w:lang w:val="en-US" w:eastAsia="zh-CN"/>
        </w:rPr>
        <w:t>25</w:t>
      </w:r>
      <w:r>
        <w:rPr>
          <w:rFonts w:hint="default" w:ascii="Times New Roman" w:hAnsi="Times New Roman" w:eastAsia="方正仿宋_GBK" w:cs="Times New Roman"/>
          <w:color w:val="auto"/>
          <w:sz w:val="32"/>
          <w:szCs w:val="32"/>
          <w:highlight w:val="none"/>
        </w:rPr>
        <w:t xml:space="preserve">日          </w:t>
      </w:r>
    </w:p>
    <w:p>
      <w:pPr>
        <w:widowControl/>
        <w:jc w:val="left"/>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br w:type="page"/>
      </w:r>
    </w:p>
    <w:p>
      <w:pPr>
        <w:spacing w:line="579"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重庆化工职业学院</w:t>
      </w:r>
    </w:p>
    <w:p>
      <w:pPr>
        <w:spacing w:line="579"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非学历教育管理实施办法</w:t>
      </w:r>
    </w:p>
    <w:p>
      <w:pPr>
        <w:spacing w:line="579" w:lineRule="exact"/>
        <w:ind w:firstLine="880" w:firstLineChars="200"/>
        <w:jc w:val="center"/>
        <w:rPr>
          <w:rFonts w:hint="default" w:ascii="Times New Roman" w:hAnsi="Times New Roman" w:eastAsia="方正小标宋简体" w:cs="Times New Roman"/>
          <w:color w:val="auto"/>
          <w:sz w:val="44"/>
          <w:szCs w:val="44"/>
          <w:highlight w:val="none"/>
        </w:rPr>
      </w:pPr>
    </w:p>
    <w:p>
      <w:pPr>
        <w:pStyle w:val="10"/>
        <w:spacing w:before="0" w:after="0" w:line="558" w:lineRule="exact"/>
        <w:rPr>
          <w:rFonts w:hint="default" w:ascii="Times New Roman" w:hAnsi="Times New Roman" w:eastAsia="方正黑体_GBK" w:cs="Times New Roman"/>
        </w:rPr>
      </w:pPr>
      <w:r>
        <w:rPr>
          <w:rFonts w:hint="default" w:ascii="Times New Roman" w:hAnsi="Times New Roman" w:eastAsia="方正黑体_GBK" w:cs="Times New Roman"/>
        </w:rPr>
        <w:t>第一章  总</w:t>
      </w:r>
      <w:r>
        <w:rPr>
          <w:rFonts w:hint="default" w:ascii="Times New Roman" w:hAnsi="Times New Roman" w:eastAsia="方正黑体_GBK" w:cs="Times New Roman"/>
          <w:lang w:val="en-US" w:eastAsia="zh-CN"/>
        </w:rPr>
        <w:t xml:space="preserve">  </w:t>
      </w:r>
      <w:r>
        <w:rPr>
          <w:rFonts w:hint="default" w:ascii="Times New Roman" w:hAnsi="Times New Roman" w:eastAsia="方正黑体_GBK" w:cs="Times New Roman"/>
        </w:rPr>
        <w:t>则</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第一条</w:t>
      </w:r>
      <w:r>
        <w:rPr>
          <w:rFonts w:hint="default" w:ascii="Times New Roman" w:hAnsi="Times New Roman" w:eastAsia="方正仿宋_GBK" w:cs="Times New Roman"/>
          <w:sz w:val="32"/>
          <w:szCs w:val="32"/>
        </w:rPr>
        <w:t xml:space="preserve">  服务社会是高等学校的基本职能之一，开展培训是高等学校服务社会的重要形式。</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第二条</w:t>
      </w:r>
      <w:r>
        <w:rPr>
          <w:rFonts w:hint="default" w:ascii="Times New Roman" w:hAnsi="Times New Roman" w:eastAsia="方正仿宋_GBK" w:cs="Times New Roman"/>
          <w:sz w:val="32"/>
          <w:szCs w:val="32"/>
        </w:rPr>
        <w:t xml:space="preserve">  为了规范学院对培训工作的统一管理，充分调动院属各单位开展培训的积极性，根据《高等教育法》、《职业教育法》、《普通高等学校举办非学历教育管理规定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试行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教职成厅函〔2021〕23号</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和国家相关财务制度，结合学校实际，制定本办法。</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第三条</w:t>
      </w:r>
      <w:r>
        <w:rPr>
          <w:rFonts w:hint="default" w:ascii="Times New Roman" w:hAnsi="Times New Roman" w:eastAsia="方正仿宋_GBK" w:cs="Times New Roman"/>
          <w:sz w:val="32"/>
          <w:szCs w:val="32"/>
        </w:rPr>
        <w:t xml:space="preserve">  坚持以习近平新时代中国特色社会主义思想为指导，全面贯彻党的教育方针，充分发挥学校在服务国家战略、经济社会发展和人的全面发展，促进学习型社会建设的重要作用，规范我校非学历教育培训办学行为，提高办学质量和效益，促进非学历教育工作健康有序发展。 </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第四条</w:t>
      </w:r>
      <w:r>
        <w:rPr>
          <w:rFonts w:hint="default" w:ascii="Times New Roman" w:hAnsi="Times New Roman" w:eastAsia="方正仿宋_GBK" w:cs="Times New Roman"/>
          <w:sz w:val="32"/>
          <w:szCs w:val="32"/>
        </w:rPr>
        <w:t xml:space="preserve"> 各类非学历教育的办学应明确方向，严格教学管理，重视办学质量，注意社会效果，维护学校声誉。非学历教育应有别于学校的全日制普通学历教育和成教、自考等业余学历教育，既要以社会需求为原则，又不能影响学校正常的教学秩序。非学历教育培训不得以任何方式与各种学历教育混同，更不得以任何模糊两者差别的方式招生及开展办学活动。</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第五条</w:t>
      </w:r>
      <w:r>
        <w:rPr>
          <w:rFonts w:hint="default" w:ascii="Times New Roman" w:hAnsi="Times New Roman" w:eastAsia="方正仿宋_GBK" w:cs="Times New Roman"/>
          <w:sz w:val="32"/>
          <w:szCs w:val="32"/>
        </w:rPr>
        <w:t xml:space="preserve">  本办法适用于以学校名义举办的主要面向社会人员开展的各类以不颁发学历证书为目的的教育培训活动，包含但不限于企事业单位委托培训、专业技术人员培训、师资培训、技能提升培训、重点人群的就业创业培训、失业人员再就业培训等。</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管理机构及职责</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第六条  继续教育学院职能职责</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以管办分离、归口管理为原则，实施非学历教育培训。继续教育学院是学校非学历教育培训的统筹、管理与服务部门，负责学校非学历教育培训的统筹规划、统筹开拓、立项审批、工作协调、指导监督、证书管理、项目申报管理等，其主要职责包括:</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（一）负责拟定和组织实施学校培训规划。</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（二）负责拟定学校关于培训的计划和指标，构建与学校发展要求相适应的培训体系。</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（三）负责统筹学校非学历教育培训业务开拓工作。</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（四）负责对学校培训进行统一管理，审查学校所属单位（包括校外培训机构到校内开展培训或招生）报送的培训项目，检查、指导和协调各二级学院的培训工作。</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（五）负责重庆市中职教师培训基地建设和管理。</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（六）作为牵头单位，负责组织有关部门或各二级学院向有关主管部门或行业协会申报（授权）培训基地、培训项目和培训经费。</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（七）负责学校在校外设立授权培训基地的考察、审批和管理。</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（八）发挥学校的专业、师资、设备和场地优势，充分整合全校软硬件资源，主动与社会组织、有关单位或二级学院合作开展各类职业培训和认证培训。</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（九）负责与国家职业技能等级认证部门协调，开展认证培训，培训合格人员由职业技能鉴定所进行职业资格认证。</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（十）负责学校培训工作的信息搜集和数据统计，发布学院年度培训工作报告，配合学校相关部门完成培训评估指标体系的数据统计和资料收集汇总。</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（十一）对各二级学院开展培训工作进行评估检查考核。组织召开学校年度培训工作会，开展年度评优和总结。</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（十二）负责违规培训办学行为的查处。</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（十三）负责本部门培训专用场地、设施和设备的建设、管理和维护。</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第七条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各二级学院职能职责</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各二级学院（以下称主办单位）是本学院非学历教育培训工作的实施主体，其主要职责是:</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（一）加强对本学院非学历教育培训工作的领导，根据学校年度培训工作计划，制定本学院非学历教育培训计划，主动依法依规开展适应社会需求的职业技能等培训。</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（二）会同继续教育学院开展本学院非学历教育培训业务开拓工作。</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（三）与校外单位合作举办培训班的二级学院，应签署合作办学协议，协议书需经继续教育学院、继续教育分管领导签注意见后报学校党政办公室签章。</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各二级学院举办非学历教育培训班事应当先向继续教育学院提出办班申请，做好登记、发证和备案等工作，完善申报审批手续后方可开班，自觉接受继续教育学院对培训工作的统一管理、评估检查和业务指导。培训项目和对外发布的培训简章必须报继续教育学院审查和备案。</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（五）会同继续教育学院申报有关授权培训基地或培训项目，做好迎接基地（项目）申报及评估验收的相关工作。</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（六）负责拟订本学院培训教学方案和培训实施计划，选派培训师资和教学班主任，负责培训教学的具体组织实施，完成培训任务。</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（七）负责本学院非学历教育师资队伍、培训课程、培训场地、设施设备等建设、管理及维护。</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（八）负责本学院培训教材、教辅资料的审核、选定，培训教师、参训学员等意识形态管理工作。</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（九）及时报送本学院开展培训工作的有关数据、信息和资料。</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各有关部门职能职责</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学校有关部门须按分工在各自职责范围内对学校继续教育工作开展给予全力支持和配合，确保学校继续教育工作高质量发展。</w:t>
      </w:r>
    </w:p>
    <w:p>
      <w:pPr>
        <w:keepNext w:val="0"/>
        <w:keepLines w:val="0"/>
        <w:pageBreakBefore w:val="0"/>
        <w:widowControl/>
        <w:kinsoku/>
        <w:wordWrap/>
        <w:overflowPunct/>
        <w:topLinePunct w:val="0"/>
        <w:autoSpaceDE/>
        <w:autoSpaceDN/>
        <w:bidi w:val="0"/>
        <w:adjustRightInd/>
        <w:snapToGrid/>
        <w:spacing w:line="558"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  校外培训机构的管理</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第九条</w:t>
      </w:r>
      <w:r>
        <w:rPr>
          <w:rFonts w:hint="default" w:ascii="Times New Roman" w:hAnsi="Times New Roman" w:eastAsia="方正仿宋_GBK" w:cs="Times New Roman"/>
          <w:sz w:val="32"/>
          <w:szCs w:val="32"/>
        </w:rPr>
        <w:t xml:space="preserve">  校外培训机构到校内开展培训和招生，由继续教育学院统一归口管理。</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第十条</w:t>
      </w:r>
      <w:r>
        <w:rPr>
          <w:rFonts w:hint="default" w:ascii="Times New Roman" w:hAnsi="Times New Roman" w:eastAsia="方正仿宋_GBK" w:cs="Times New Roman"/>
          <w:sz w:val="32"/>
          <w:szCs w:val="32"/>
        </w:rPr>
        <w:t xml:space="preserve">  为维护学生的合法权益，校外培训机构针对在校生培训，只能开展合作培训，由继续教育学院负责代表学校签订合作协议。</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第十一条</w:t>
      </w:r>
      <w:r>
        <w:rPr>
          <w:rFonts w:hint="default" w:ascii="Times New Roman" w:hAnsi="Times New Roman" w:eastAsia="方正仿宋_GBK" w:cs="Times New Roman"/>
          <w:sz w:val="32"/>
          <w:szCs w:val="32"/>
        </w:rPr>
        <w:t xml:space="preserve">  校外培训机构应当具有开展培训的资质或办学许可证，具有独立法人并能独立承担民事责任，具有一定的培训经验和市场运作能力。</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第十二条</w:t>
      </w:r>
      <w:r>
        <w:rPr>
          <w:rFonts w:hint="default" w:ascii="Times New Roman" w:hAnsi="Times New Roman" w:eastAsia="方正仿宋_GBK" w:cs="Times New Roman"/>
          <w:sz w:val="32"/>
          <w:szCs w:val="32"/>
        </w:rPr>
        <w:t xml:space="preserve">  未经审批的校外培训机构在校内开展培训或招生一律视为非法培训，由继续教育学院会同安全稳定部门、纪检监察部门负责查处。</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第十三条</w:t>
      </w:r>
      <w:r>
        <w:rPr>
          <w:rFonts w:hint="default" w:ascii="Times New Roman" w:hAnsi="Times New Roman" w:eastAsia="方正仿宋_GBK" w:cs="Times New Roman"/>
          <w:sz w:val="32"/>
          <w:szCs w:val="32"/>
        </w:rPr>
        <w:t xml:space="preserve">  校外培训机构不得擅自在校内摆摊设点和张贴招生广告。</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第十四条</w:t>
      </w:r>
      <w:r>
        <w:rPr>
          <w:rFonts w:hint="default" w:ascii="Times New Roman" w:hAnsi="Times New Roman" w:eastAsia="方正仿宋_GBK" w:cs="Times New Roman"/>
          <w:sz w:val="32"/>
          <w:szCs w:val="32"/>
        </w:rPr>
        <w:t xml:space="preserve">  鼓励校外培训机构在学校的统一组织指导下，有序开展内容健康、积极向上的公益性培训，提高在校学生的综合素质、扩大学生的知识面。</w:t>
      </w:r>
    </w:p>
    <w:p>
      <w:pPr>
        <w:keepNext w:val="0"/>
        <w:keepLines w:val="0"/>
        <w:pageBreakBefore w:val="0"/>
        <w:widowControl/>
        <w:kinsoku/>
        <w:wordWrap/>
        <w:overflowPunct/>
        <w:topLinePunct w:val="0"/>
        <w:autoSpaceDE/>
        <w:autoSpaceDN/>
        <w:bidi w:val="0"/>
        <w:adjustRightInd/>
        <w:snapToGrid/>
        <w:spacing w:line="558"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第四章  培训招生宣传管理</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第十五条</w:t>
      </w:r>
      <w:r>
        <w:rPr>
          <w:rFonts w:hint="default" w:ascii="Times New Roman" w:hAnsi="Times New Roman" w:eastAsia="方正仿宋_GBK" w:cs="Times New Roman"/>
          <w:sz w:val="32"/>
          <w:szCs w:val="32"/>
        </w:rPr>
        <w:t xml:space="preserve">  为规范招生宣传、统一对外形象，开展培训的招生简章（包括条幅、印刷品等）原则上继续教育学院审核确定。</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第十六条</w:t>
      </w:r>
      <w:r>
        <w:rPr>
          <w:rFonts w:hint="default" w:ascii="Times New Roman" w:hAnsi="Times New Roman" w:eastAsia="方正仿宋_GBK" w:cs="Times New Roman"/>
          <w:sz w:val="32"/>
          <w:szCs w:val="32"/>
        </w:rPr>
        <w:t xml:space="preserve">  各类培训招生简章和对外发布的招生广告须经继续教育学院审查和备案，并加盖“培训审核专用章”方可发布。凡未经批准的各类办班及招生广告，学校一概不予承认。</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第十七条</w:t>
      </w:r>
      <w:r>
        <w:rPr>
          <w:rFonts w:hint="default" w:ascii="Times New Roman" w:hAnsi="Times New Roman" w:eastAsia="方正仿宋_GBK" w:cs="Times New Roman"/>
          <w:sz w:val="32"/>
          <w:szCs w:val="32"/>
        </w:rPr>
        <w:t xml:space="preserve">  在校内摆摊设点开展培训招生宣传由继续教育学院核定后报安全稳定部门，由继续教育学院统一安排场地。未经同意，任何单位和个人不得在学校内任何地方摆摊设点、设立广告牌等进行宣传和招生。</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第十八条</w:t>
      </w:r>
      <w:r>
        <w:rPr>
          <w:rFonts w:hint="default" w:ascii="Times New Roman" w:hAnsi="Times New Roman" w:eastAsia="方正仿宋_GBK" w:cs="Times New Roman"/>
          <w:sz w:val="32"/>
          <w:szCs w:val="32"/>
        </w:rPr>
        <w:t xml:space="preserve">  制作的招生简章、宣传条幅、宣传牌匾的张贴和放置地点由宣传部门负责指定，不得随意乱张贴。</w:t>
      </w:r>
    </w:p>
    <w:p>
      <w:pPr>
        <w:keepNext w:val="0"/>
        <w:keepLines w:val="0"/>
        <w:pageBreakBefore w:val="0"/>
        <w:widowControl/>
        <w:kinsoku/>
        <w:wordWrap/>
        <w:overflowPunct/>
        <w:topLinePunct w:val="0"/>
        <w:autoSpaceDE/>
        <w:autoSpaceDN/>
        <w:bidi w:val="0"/>
        <w:adjustRightInd/>
        <w:snapToGrid/>
        <w:spacing w:line="558"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第五章  经费管理</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第十九条</w:t>
      </w:r>
      <w:r>
        <w:rPr>
          <w:rFonts w:hint="default" w:ascii="Times New Roman" w:hAnsi="Times New Roman" w:eastAsia="方正仿宋_GBK" w:cs="Times New Roman"/>
          <w:sz w:val="32"/>
          <w:szCs w:val="32"/>
        </w:rPr>
        <w:t xml:space="preserve">  非学历教育培训的收费标准须按照地方政府或学校统一规定执行，不得超标准超项目多收费、乱收费。</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第二十条</w:t>
      </w:r>
      <w:r>
        <w:rPr>
          <w:rFonts w:hint="default" w:ascii="Times New Roman" w:hAnsi="Times New Roman" w:eastAsia="方正仿宋_GBK" w:cs="Times New Roman"/>
          <w:sz w:val="32"/>
          <w:szCs w:val="32"/>
        </w:rPr>
        <w:t xml:space="preserve">  培训经费专款专用，由财务处统一监管。财务处负责各类培训费的收取，并按审批程序支付和管理，接受审计部门的审计。</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第二十一条</w:t>
      </w:r>
      <w:r>
        <w:rPr>
          <w:rFonts w:hint="default" w:ascii="Times New Roman" w:hAnsi="Times New Roman" w:eastAsia="方正仿宋_GBK" w:cs="Times New Roman"/>
          <w:sz w:val="32"/>
          <w:szCs w:val="32"/>
        </w:rPr>
        <w:t xml:space="preserve">  学校各单位各部门应坚持厉行节约、反对浪费的原则，加强培训经费管理，合理利用培训资源,提高培训经费使用效益,做好培训成本管控，培训费的支出标准参照《重庆市市级机关培训费管理办法》并结合学校实际执行。</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严格遵守国家法律、财经法规和学校相关财经管理制度，自觉接受学校纪检监察、财务、审计等有关部门的监督、指导和审计，主办单位的负责人和项目负责人对其负责的经费使用和管理承担相应责任。开展培训的收入必须按“收支两条线”管理规定执行，并出具加盖“财务专用章”的正式票据。</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第二十二条</w:t>
      </w:r>
      <w:r>
        <w:rPr>
          <w:rFonts w:hint="default" w:ascii="Times New Roman" w:hAnsi="Times New Roman" w:eastAsia="方正仿宋_GBK" w:cs="Times New Roman"/>
          <w:sz w:val="32"/>
          <w:szCs w:val="32"/>
        </w:rPr>
        <w:t xml:space="preserve">  各单位各部门不得自行购置收据、自定项目进行收费，不得以任何理由分散、隐瞒、截留培训收入。违规收费的收入属于“小金库”，由纪检监察部门、审计部门查处。对于设立“小金库”收款数额较大或情节严重的部门及相关责任人将移交司法机关。违规所得一律上缴或责令退还缴款人，并对相关责任人以及部门负责人进行处理。</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第二十三条</w:t>
      </w:r>
      <w:r>
        <w:rPr>
          <w:rFonts w:hint="default" w:ascii="Times New Roman" w:hAnsi="Times New Roman" w:eastAsia="方正仿宋_GBK" w:cs="Times New Roman"/>
          <w:sz w:val="32"/>
          <w:szCs w:val="32"/>
        </w:rPr>
        <w:t xml:space="preserve">  对实行财政补贴的专项培训必须按项目管理执行，并接受有关部门的检查。</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第二十四条</w:t>
      </w:r>
      <w:r>
        <w:rPr>
          <w:rFonts w:hint="default" w:ascii="Times New Roman" w:hAnsi="Times New Roman" w:eastAsia="方正仿宋_GBK" w:cs="Times New Roman"/>
          <w:sz w:val="32"/>
          <w:szCs w:val="32"/>
        </w:rPr>
        <w:t xml:space="preserve">  非学历教育培训支出：在校内举办、使用了学校场地、设施设备及耗材的，各类经费总支出控制在总收入的70%以内；在校外举办的，各类经费总支出控制在总收入的80%以内。</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第二十五条</w:t>
      </w:r>
      <w:r>
        <w:rPr>
          <w:rFonts w:hint="default" w:ascii="Times New Roman" w:hAnsi="Times New Roman" w:eastAsia="方正仿宋_GBK" w:cs="Times New Roman"/>
          <w:sz w:val="32"/>
          <w:szCs w:val="32"/>
        </w:rPr>
        <w:t xml:space="preserve">  在各类成本支出后，继续教育学院与二级学院应根据贡献和分工协商建立合理的培训收入分配方案，报财务处备案，培训收入必须优先用于教师课时费支出。</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第二十六条</w:t>
      </w:r>
      <w:r>
        <w:rPr>
          <w:rFonts w:hint="default" w:ascii="Times New Roman" w:hAnsi="Times New Roman" w:eastAsia="方正仿宋_GBK" w:cs="Times New Roman"/>
          <w:sz w:val="32"/>
          <w:szCs w:val="32"/>
        </w:rPr>
        <w:t xml:space="preserve">  已审批的培训项目应按协议内容严格执行，因特殊原因涉及培训经费或利润分配变更的，主办单位负责完成补充协议的签订。</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第二十七条</w:t>
      </w:r>
      <w:r>
        <w:rPr>
          <w:rFonts w:hint="default" w:ascii="Times New Roman" w:hAnsi="Times New Roman" w:eastAsia="方正仿宋_GBK" w:cs="Times New Roman"/>
          <w:sz w:val="32"/>
          <w:szCs w:val="32"/>
        </w:rPr>
        <w:t xml:space="preserve">  以学校名义举办的培训项目均需签订培训协议（合同)，合作方必须具备合同签订的法律资质，相关要求按照学校合同管理办法执行。已审批的培训项目应按协议内容严格执行，因特殊原因涉及培训经费或利润分配变更的，主办单位负责完成补充协议的签订。</w:t>
      </w:r>
    </w:p>
    <w:p>
      <w:pPr>
        <w:keepNext w:val="0"/>
        <w:keepLines w:val="0"/>
        <w:pageBreakBefore w:val="0"/>
        <w:widowControl/>
        <w:kinsoku/>
        <w:wordWrap/>
        <w:overflowPunct/>
        <w:topLinePunct w:val="0"/>
        <w:autoSpaceDE/>
        <w:autoSpaceDN/>
        <w:bidi w:val="0"/>
        <w:adjustRightInd/>
        <w:snapToGrid/>
        <w:spacing w:line="558"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  项目实施</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第二十七八条</w:t>
      </w:r>
      <w:r>
        <w:rPr>
          <w:rFonts w:hint="default" w:ascii="Times New Roman" w:hAnsi="Times New Roman" w:eastAsia="方正仿宋_GBK" w:cs="Times New Roman"/>
          <w:sz w:val="32"/>
          <w:szCs w:val="32"/>
        </w:rPr>
        <w:t xml:space="preserve">  主办单位要加强各类非学历教育培训的规范管理，监督培训质量，打造培训品牌。</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第二十九条</w:t>
      </w:r>
      <w:r>
        <w:rPr>
          <w:rFonts w:hint="default" w:ascii="Times New Roman" w:hAnsi="Times New Roman" w:eastAsia="方正仿宋_GBK" w:cs="Times New Roman"/>
          <w:sz w:val="32"/>
          <w:szCs w:val="32"/>
        </w:rPr>
        <w:t xml:space="preserve">  项目实施主要包括:制定培训方案、选定培训师资、落实培训食宿和场地、组织培训教学、编制培训资料、开展考试考核、申领结业证书、整理培训档案等。</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第三十条</w:t>
      </w:r>
      <w:r>
        <w:rPr>
          <w:rFonts w:hint="default" w:ascii="Times New Roman" w:hAnsi="Times New Roman" w:eastAsia="方正仿宋_GBK" w:cs="Times New Roman"/>
          <w:sz w:val="32"/>
          <w:szCs w:val="32"/>
        </w:rPr>
        <w:t xml:space="preserve">  主办单位开展非学历教育培训项目应注重培训方案设计和质量评估，落实保障培训质量的各项措施，推进培训工作科学化、规范化和信息化。</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第三十一条</w:t>
      </w:r>
      <w:r>
        <w:rPr>
          <w:rFonts w:hint="default" w:ascii="Times New Roman" w:hAnsi="Times New Roman" w:eastAsia="方正仿宋_GBK" w:cs="Times New Roman"/>
          <w:sz w:val="32"/>
          <w:szCs w:val="32"/>
        </w:rPr>
        <w:t xml:space="preserve">  主办单位须选聘具有较高思想政治素质和业务水平的专家担任培训教师，对教师授课内容、时间、场地进行核查，落实学校教育教学、师资管理有关规定。</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第三十二条</w:t>
      </w:r>
      <w:r>
        <w:rPr>
          <w:rFonts w:hint="default" w:ascii="Times New Roman" w:hAnsi="Times New Roman" w:eastAsia="方正仿宋_GBK" w:cs="Times New Roman"/>
          <w:sz w:val="32"/>
          <w:szCs w:val="32"/>
        </w:rPr>
        <w:t xml:space="preserve">  主办单位应按档案管理要求做好非学历教育培训项目的资料归档工作，存档材料包含但不限于培训合同、培训通知、培训方案、学员签到册、学员考勤表、摄影摄像、结业名册、培训总结等培训项目过程性资料，并在项目结束后一个月内向继续教育学院提交。</w:t>
      </w:r>
    </w:p>
    <w:p>
      <w:pPr>
        <w:keepNext w:val="0"/>
        <w:keepLines w:val="0"/>
        <w:pageBreakBefore w:val="0"/>
        <w:widowControl/>
        <w:kinsoku/>
        <w:wordWrap/>
        <w:overflowPunct/>
        <w:topLinePunct w:val="0"/>
        <w:autoSpaceDE/>
        <w:autoSpaceDN/>
        <w:bidi w:val="0"/>
        <w:adjustRightInd/>
        <w:snapToGrid/>
        <w:spacing w:line="558"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第七章  培训考核和证书管理</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第三十三条</w:t>
      </w:r>
      <w:r>
        <w:rPr>
          <w:rFonts w:hint="default" w:ascii="Times New Roman" w:hAnsi="Times New Roman" w:eastAsia="方正仿宋_GBK" w:cs="Times New Roman"/>
          <w:sz w:val="32"/>
          <w:szCs w:val="32"/>
        </w:rPr>
        <w:t xml:space="preserve">  继续教育学院统一印制培训学员证和培训合格证书。</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第三十四条</w:t>
      </w:r>
      <w:r>
        <w:rPr>
          <w:rFonts w:hint="default" w:ascii="Times New Roman" w:hAnsi="Times New Roman" w:eastAsia="方正仿宋_GBK" w:cs="Times New Roman"/>
          <w:sz w:val="32"/>
          <w:szCs w:val="32"/>
        </w:rPr>
        <w:t xml:space="preserve">  培训期满综合考核合格的学员颁发培训合格证书。</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第三十五条</w:t>
      </w:r>
      <w:r>
        <w:rPr>
          <w:rFonts w:hint="default" w:ascii="Times New Roman" w:hAnsi="Times New Roman" w:eastAsia="方正仿宋_GBK" w:cs="Times New Roman"/>
          <w:sz w:val="32"/>
          <w:szCs w:val="32"/>
        </w:rPr>
        <w:t xml:space="preserve">  参加技能培训课程班或认证培训需要参加职业资格鉴定的，由职业技能鉴定所按《职业资格认证实施工作办法》组织鉴定，经考核合格后发给国家职业技能等级认定证书。</w:t>
      </w:r>
    </w:p>
    <w:p>
      <w:pPr>
        <w:keepNext w:val="0"/>
        <w:keepLines w:val="0"/>
        <w:pageBreakBefore w:val="0"/>
        <w:widowControl/>
        <w:kinsoku/>
        <w:wordWrap/>
        <w:overflowPunct/>
        <w:topLinePunct w:val="0"/>
        <w:autoSpaceDE/>
        <w:autoSpaceDN/>
        <w:bidi w:val="0"/>
        <w:adjustRightInd/>
        <w:snapToGrid/>
        <w:spacing w:line="558"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第八章  监督管理</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 xml:space="preserve">第三十六条 </w:t>
      </w:r>
      <w:r>
        <w:rPr>
          <w:rFonts w:hint="default" w:ascii="Times New Roman" w:hAnsi="Times New Roman" w:eastAsia="方正仿宋_GBK" w:cs="Times New Roman"/>
          <w:sz w:val="32"/>
          <w:szCs w:val="32"/>
        </w:rPr>
        <w:t xml:space="preserve"> 开展非学历教育培训必须遵守国家和地方的法律法规，符合政府主管部门的政策要求，遵从学校的统筹管理。以自招、自办、自管为主，严禁委托校外机构代理招生，学校严禁转移、下放、出让学校的管理权、办学权和教学权，严禁培训项目整体外包。学校不定期对主办单位的培训项目实施情况进行督查。</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第三十七条</w:t>
      </w:r>
      <w:r>
        <w:rPr>
          <w:rFonts w:hint="default" w:ascii="Times New Roman" w:hAnsi="Times New Roman" w:eastAsia="方正仿宋_GBK" w:cs="Times New Roman"/>
          <w:sz w:val="32"/>
          <w:szCs w:val="32"/>
        </w:rPr>
        <w:t xml:space="preserve">  主办单位要定期开展培训项目检查、评估和总结,建立培训效果回访制度，不断改进和提升培训质量，提高社会效益。</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第三十八条</w:t>
      </w:r>
      <w:r>
        <w:rPr>
          <w:rFonts w:hint="default" w:ascii="Times New Roman" w:hAnsi="Times New Roman" w:eastAsia="方正仿宋_GBK" w:cs="Times New Roman"/>
          <w:sz w:val="32"/>
          <w:szCs w:val="32"/>
        </w:rPr>
        <w:t xml:space="preserve">  主办单位对所举办的培训项目承担主体责任，实行责任追究制。</w:t>
      </w:r>
    </w:p>
    <w:p>
      <w:pPr>
        <w:keepNext w:val="0"/>
        <w:keepLines w:val="0"/>
        <w:pageBreakBefore w:val="0"/>
        <w:widowControl/>
        <w:kinsoku/>
        <w:wordWrap/>
        <w:overflowPunct/>
        <w:topLinePunct w:val="0"/>
        <w:autoSpaceDE/>
        <w:autoSpaceDN/>
        <w:bidi w:val="0"/>
        <w:adjustRightInd/>
        <w:snapToGrid/>
        <w:spacing w:line="558" w:lineRule="exact"/>
        <w:ind w:firstLine="0" w:firstLineChars="0"/>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 xml:space="preserve"> 附  则</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第三十九条</w:t>
      </w:r>
      <w:r>
        <w:rPr>
          <w:rFonts w:hint="default" w:ascii="Times New Roman" w:hAnsi="Times New Roman" w:eastAsia="方正仿宋_GBK" w:cs="Times New Roman"/>
          <w:sz w:val="32"/>
          <w:szCs w:val="32"/>
        </w:rPr>
        <w:t xml:space="preserve">  凡未经批准的各类办班，学校任何单位和个人均不得向其提供教室、实验室、办公室等。若有违反，对当事人进行批评教育，责令其收入上交学校；产生不良后果的，学校将对责任部门领导予以行政处理。</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第四十条</w:t>
      </w:r>
      <w:r>
        <w:rPr>
          <w:rFonts w:hint="default" w:ascii="Times New Roman" w:hAnsi="Times New Roman" w:eastAsia="方正仿宋_GBK" w:cs="Times New Roman"/>
          <w:sz w:val="32"/>
          <w:szCs w:val="32"/>
        </w:rPr>
        <w:t xml:space="preserve">  针对本校教职工组织的各类进修培训由人事处另行制定管理办法。</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第四十一条</w:t>
      </w:r>
      <w:r>
        <w:rPr>
          <w:rFonts w:hint="default" w:ascii="Times New Roman" w:hAnsi="Times New Roman" w:eastAsia="方正仿宋_GBK" w:cs="Times New Roman"/>
          <w:sz w:val="32"/>
          <w:szCs w:val="32"/>
        </w:rPr>
        <w:t xml:space="preserve">  本办法适用于全校各类非学历教育，包括举办继续教育、远程教育、职业技能培训、考前培训、认证培训以及其他各类培训。</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第四十二条</w:t>
      </w:r>
      <w:r>
        <w:rPr>
          <w:rFonts w:hint="default" w:ascii="Times New Roman" w:hAnsi="Times New Roman" w:eastAsia="方正仿宋_GBK" w:cs="Times New Roman"/>
          <w:sz w:val="32"/>
          <w:szCs w:val="32"/>
        </w:rPr>
        <w:t xml:space="preserve">  本办法由继续教育学院负责解释。</w:t>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第四十三条</w:t>
      </w:r>
      <w:r>
        <w:rPr>
          <w:rFonts w:hint="default" w:ascii="Times New Roman" w:hAnsi="Times New Roman" w:eastAsia="方正仿宋_GBK" w:cs="Times New Roman"/>
          <w:sz w:val="32"/>
          <w:szCs w:val="32"/>
        </w:rPr>
        <w:t xml:space="preserve">  本修订办法从公布之日起施行，渝化职院〔2016〕32号中《重庆化工职业学院培训管理实施办法》同时废止。</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58" w:lineRule="exact"/>
        <w:textAlignment w:val="auto"/>
        <w:rPr>
          <w:rFonts w:hint="default" w:ascii="Times New Roman" w:hAnsi="Times New Roman" w:eastAsia="方正仿宋_GBK" w:cs="Times New Roman"/>
          <w:sz w:val="32"/>
          <w:szCs w:val="32"/>
        </w:rPr>
      </w:pPr>
      <w:bookmarkStart w:id="1" w:name="_GoBack"/>
      <w:bookmarkEnd w:id="1"/>
    </w:p>
    <w:tbl>
      <w:tblPr>
        <w:tblStyle w:val="11"/>
        <w:tblW w:w="88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1"/>
        <w:gridCol w:w="448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331" w:type="dxa"/>
            <w:vAlign w:val="center"/>
          </w:tcPr>
          <w:p>
            <w:pPr>
              <w:ind w:firstLine="280" w:firstLineChars="1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重庆化工职业学院党政办公室</w:t>
            </w:r>
          </w:p>
        </w:tc>
        <w:tc>
          <w:tcPr>
            <w:tcW w:w="4489" w:type="dxa"/>
            <w:vAlign w:val="center"/>
          </w:tcPr>
          <w:p>
            <w:pPr>
              <w:ind w:right="276"/>
              <w:jc w:val="right"/>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8"/>
                <w:szCs w:val="28"/>
                <w:highlight w:val="none"/>
              </w:rPr>
              <w:t>202</w:t>
            </w:r>
            <w:r>
              <w:rPr>
                <w:rFonts w:hint="default"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年</w:t>
            </w:r>
            <w:r>
              <w:rPr>
                <w:rFonts w:hint="default" w:ascii="Times New Roman" w:hAnsi="Times New Roman" w:eastAsia="方正仿宋_GBK" w:cs="Times New Roman"/>
                <w:color w:val="auto"/>
                <w:sz w:val="28"/>
                <w:szCs w:val="28"/>
                <w:highlight w:val="none"/>
                <w:lang w:val="en-US" w:eastAsia="zh-CN"/>
              </w:rPr>
              <w:t>10</w:t>
            </w:r>
            <w:r>
              <w:rPr>
                <w:rFonts w:hint="default" w:ascii="Times New Roman" w:hAnsi="Times New Roman" w:eastAsia="方正仿宋_GBK" w:cs="Times New Roman"/>
                <w:color w:val="auto"/>
                <w:sz w:val="28"/>
                <w:szCs w:val="28"/>
                <w:highlight w:val="none"/>
              </w:rPr>
              <w:t>月</w:t>
            </w:r>
            <w:r>
              <w:rPr>
                <w:rFonts w:hint="default" w:ascii="Times New Roman" w:hAnsi="Times New Roman" w:eastAsia="方正仿宋_GBK" w:cs="Times New Roman"/>
                <w:color w:val="auto"/>
                <w:sz w:val="28"/>
                <w:szCs w:val="28"/>
                <w:highlight w:val="none"/>
                <w:lang w:val="en-US" w:eastAsia="zh-CN"/>
              </w:rPr>
              <w:t>25</w:t>
            </w:r>
            <w:r>
              <w:rPr>
                <w:rFonts w:hint="default" w:ascii="Times New Roman" w:hAnsi="Times New Roman" w:eastAsia="方正仿宋_GBK" w:cs="Times New Roman"/>
                <w:color w:val="auto"/>
                <w:sz w:val="28"/>
                <w:szCs w:val="28"/>
                <w:highlight w:val="none"/>
              </w:rPr>
              <w:t>日印发</w:t>
            </w:r>
          </w:p>
        </w:tc>
      </w:tr>
    </w:tbl>
    <w:p>
      <w:pPr>
        <w:spacing w:line="579" w:lineRule="exact"/>
        <w:jc w:val="left"/>
        <w:rPr>
          <w:rFonts w:hint="default" w:ascii="Times New Roman" w:hAnsi="Times New Roman" w:eastAsia="方正仿宋_GBK" w:cs="Times New Roman"/>
          <w:color w:val="auto"/>
          <w:sz w:val="32"/>
          <w:szCs w:val="32"/>
          <w:highlight w:val="none"/>
        </w:rPr>
      </w:pPr>
    </w:p>
    <w:sectPr>
      <w:headerReference r:id="rId3" w:type="default"/>
      <w:footerReference r:id="rId5" w:type="default"/>
      <w:headerReference r:id="rId4" w:type="even"/>
      <w:footerReference r:id="rId6"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embedRegular r:id="rId1" w:fontKey="{E0D4C221-B29E-42D5-B23B-254DBC9538D5}"/>
  </w:font>
  <w:font w:name="方正黑体_GBK">
    <w:panose1 w:val="03000509000000000000"/>
    <w:charset w:val="86"/>
    <w:family w:val="script"/>
    <w:pitch w:val="default"/>
    <w:sig w:usb0="00000001" w:usb1="080E0000" w:usb2="00000000" w:usb3="00000000" w:csb0="00040000" w:csb1="00000000"/>
    <w:embedRegular r:id="rId2" w:fontKey="{0FE41204-79F4-477B-9BFE-DC18BE000E3A}"/>
  </w:font>
  <w:font w:name="方正仿宋_GBK">
    <w:panose1 w:val="03000509000000000000"/>
    <w:charset w:val="86"/>
    <w:family w:val="script"/>
    <w:pitch w:val="default"/>
    <w:sig w:usb0="00000001" w:usb1="080E0000" w:usb2="00000000" w:usb3="00000000" w:csb0="00040000" w:csb1="00000000"/>
    <w:embedRegular r:id="rId3" w:fontKey="{4FD86422-928B-4532-9A9C-122DAEFA586D}"/>
  </w:font>
  <w:font w:name="方正小标宋简体">
    <w:panose1 w:val="02000000000000000000"/>
    <w:charset w:val="86"/>
    <w:family w:val="auto"/>
    <w:pitch w:val="default"/>
    <w:sig w:usb0="00000001" w:usb1="08000000" w:usb2="00000000" w:usb3="00000000" w:csb0="00040000" w:csb1="00000000"/>
    <w:embedRegular r:id="rId4" w:fontKey="{8B5CB31B-5720-4860-B7E7-B33733AAF9E0}"/>
  </w:font>
  <w:font w:name="仿宋">
    <w:panose1 w:val="02010609060101010101"/>
    <w:charset w:val="86"/>
    <w:family w:val="modern"/>
    <w:pitch w:val="default"/>
    <w:sig w:usb0="800002BF" w:usb1="38CF7CFA" w:usb2="00000016" w:usb3="00000000" w:csb0="00040001" w:csb1="00000000"/>
  </w:font>
  <w:font w:name="方正仿宋GBK">
    <w:altName w:val="宋体"/>
    <w:panose1 w:val="00000000000000000000"/>
    <w:charset w:val="86"/>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2138453566"/>
      <w:docPartObj>
        <w:docPartGallery w:val="autotext"/>
      </w:docPartObj>
    </w:sdtPr>
    <w:sdtEndPr>
      <w:rPr>
        <w:rFonts w:ascii="宋体" w:hAnsi="宋体" w:eastAsia="宋体"/>
        <w:sz w:val="28"/>
        <w:szCs w:val="28"/>
      </w:rPr>
    </w:sdtEndPr>
    <w:sdtContent>
      <w:p>
        <w:pPr>
          <w:pStyle w:val="6"/>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9 -</w:t>
        </w:r>
        <w:r>
          <w:rPr>
            <w:rFonts w:ascii="宋体" w:hAnsi="宋体" w:eastAsia="宋体"/>
            <w:sz w:val="28"/>
            <w:szCs w:val="28"/>
          </w:rPr>
          <w:fldChar w:fldCharType="end"/>
        </w:r>
      </w:p>
    </w:sdtContent>
  </w:sdt>
  <w:p>
    <w:pPr>
      <w:pStyle w:val="6"/>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965018772"/>
      <w:docPartObj>
        <w:docPartGallery w:val="autotext"/>
      </w:docPartObj>
    </w:sdtPr>
    <w:sdtEndPr>
      <w:rPr>
        <w:rFonts w:ascii="宋体" w:hAnsi="宋体" w:eastAsia="宋体"/>
        <w:sz w:val="28"/>
        <w:szCs w:val="28"/>
      </w:rPr>
    </w:sdtEndPr>
    <w:sdtContent>
      <w:p>
        <w:pPr>
          <w:pStyle w:val="6"/>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10 -</w:t>
        </w:r>
        <w:r>
          <w:rPr>
            <w:rFonts w:ascii="宋体" w:hAnsi="宋体" w:eastAsia="宋体"/>
            <w:sz w:val="28"/>
            <w:szCs w:val="28"/>
          </w:rPr>
          <w:fldChar w:fldCharType="end"/>
        </w:r>
      </w:p>
    </w:sdtContent>
  </w:sdt>
  <w:p>
    <w:pPr>
      <w:pStyle w:val="6"/>
      <w:rPr>
        <w:rFonts w:ascii="宋体" w:hAnsi="宋体" w:eastAsia="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kNWVkNWRmOTMxODJiMzYyZjAyNTUwMzc5YjYzY2IifQ=="/>
  </w:docVars>
  <w:rsids>
    <w:rsidRoot w:val="00E958AB"/>
    <w:rsid w:val="00093C8B"/>
    <w:rsid w:val="00096293"/>
    <w:rsid w:val="000B76F4"/>
    <w:rsid w:val="000E0A14"/>
    <w:rsid w:val="00113B81"/>
    <w:rsid w:val="00114F8D"/>
    <w:rsid w:val="001167B9"/>
    <w:rsid w:val="001258A2"/>
    <w:rsid w:val="00131555"/>
    <w:rsid w:val="00146283"/>
    <w:rsid w:val="0018716C"/>
    <w:rsid w:val="001A153B"/>
    <w:rsid w:val="001B0C57"/>
    <w:rsid w:val="001C6CD5"/>
    <w:rsid w:val="001F3442"/>
    <w:rsid w:val="00201F76"/>
    <w:rsid w:val="0021439B"/>
    <w:rsid w:val="002164A8"/>
    <w:rsid w:val="002379C6"/>
    <w:rsid w:val="002479EF"/>
    <w:rsid w:val="002811E9"/>
    <w:rsid w:val="002A3419"/>
    <w:rsid w:val="002B1EAA"/>
    <w:rsid w:val="002B4E1D"/>
    <w:rsid w:val="002F38F3"/>
    <w:rsid w:val="00332349"/>
    <w:rsid w:val="00373F81"/>
    <w:rsid w:val="00383F31"/>
    <w:rsid w:val="003A44C1"/>
    <w:rsid w:val="003E24E9"/>
    <w:rsid w:val="003F2353"/>
    <w:rsid w:val="004819C8"/>
    <w:rsid w:val="004A7A61"/>
    <w:rsid w:val="00510A37"/>
    <w:rsid w:val="00530E7D"/>
    <w:rsid w:val="00571C56"/>
    <w:rsid w:val="005722DC"/>
    <w:rsid w:val="0057300F"/>
    <w:rsid w:val="005C66C7"/>
    <w:rsid w:val="005D0405"/>
    <w:rsid w:val="0060739E"/>
    <w:rsid w:val="00627375"/>
    <w:rsid w:val="0063461C"/>
    <w:rsid w:val="00643000"/>
    <w:rsid w:val="00684D3D"/>
    <w:rsid w:val="006E07AB"/>
    <w:rsid w:val="00712980"/>
    <w:rsid w:val="00717885"/>
    <w:rsid w:val="00730703"/>
    <w:rsid w:val="007459E6"/>
    <w:rsid w:val="00751418"/>
    <w:rsid w:val="00755305"/>
    <w:rsid w:val="00764F14"/>
    <w:rsid w:val="00777642"/>
    <w:rsid w:val="007C3C1C"/>
    <w:rsid w:val="007F6557"/>
    <w:rsid w:val="008930F4"/>
    <w:rsid w:val="008D5222"/>
    <w:rsid w:val="008D7DBC"/>
    <w:rsid w:val="008E1E66"/>
    <w:rsid w:val="008E2DEF"/>
    <w:rsid w:val="0090798F"/>
    <w:rsid w:val="00910B48"/>
    <w:rsid w:val="00930C80"/>
    <w:rsid w:val="00942942"/>
    <w:rsid w:val="009702B3"/>
    <w:rsid w:val="00977046"/>
    <w:rsid w:val="009D2B59"/>
    <w:rsid w:val="009E678E"/>
    <w:rsid w:val="00A23FA7"/>
    <w:rsid w:val="00A35490"/>
    <w:rsid w:val="00A46E31"/>
    <w:rsid w:val="00A94807"/>
    <w:rsid w:val="00A95733"/>
    <w:rsid w:val="00AA7F92"/>
    <w:rsid w:val="00AC14E4"/>
    <w:rsid w:val="00AD095C"/>
    <w:rsid w:val="00B0197C"/>
    <w:rsid w:val="00B51EC0"/>
    <w:rsid w:val="00B6036C"/>
    <w:rsid w:val="00B63CAB"/>
    <w:rsid w:val="00B91FB5"/>
    <w:rsid w:val="00B95E4F"/>
    <w:rsid w:val="00BF577B"/>
    <w:rsid w:val="00BF7E75"/>
    <w:rsid w:val="00C0589B"/>
    <w:rsid w:val="00C274AC"/>
    <w:rsid w:val="00C40852"/>
    <w:rsid w:val="00C754FF"/>
    <w:rsid w:val="00CF051B"/>
    <w:rsid w:val="00D25907"/>
    <w:rsid w:val="00D35A19"/>
    <w:rsid w:val="00D95551"/>
    <w:rsid w:val="00DA6BED"/>
    <w:rsid w:val="00DF7FCB"/>
    <w:rsid w:val="00E51503"/>
    <w:rsid w:val="00E716B8"/>
    <w:rsid w:val="00E8420D"/>
    <w:rsid w:val="00E90C01"/>
    <w:rsid w:val="00E94A08"/>
    <w:rsid w:val="00E958AB"/>
    <w:rsid w:val="00EB3842"/>
    <w:rsid w:val="00EC4FD1"/>
    <w:rsid w:val="00F009F1"/>
    <w:rsid w:val="00F0543A"/>
    <w:rsid w:val="00F145D8"/>
    <w:rsid w:val="00F33A55"/>
    <w:rsid w:val="00F92E3E"/>
    <w:rsid w:val="00FB35C5"/>
    <w:rsid w:val="00FD771B"/>
    <w:rsid w:val="01A7670A"/>
    <w:rsid w:val="049038AD"/>
    <w:rsid w:val="08337756"/>
    <w:rsid w:val="0A1D552E"/>
    <w:rsid w:val="0C6E18D7"/>
    <w:rsid w:val="0DEC39E6"/>
    <w:rsid w:val="12FF34FF"/>
    <w:rsid w:val="133035C7"/>
    <w:rsid w:val="13434FA3"/>
    <w:rsid w:val="143D5E41"/>
    <w:rsid w:val="16983B85"/>
    <w:rsid w:val="16C66DAA"/>
    <w:rsid w:val="16F72C63"/>
    <w:rsid w:val="17742506"/>
    <w:rsid w:val="1B8F6348"/>
    <w:rsid w:val="1D243667"/>
    <w:rsid w:val="1D295B40"/>
    <w:rsid w:val="1F0E1492"/>
    <w:rsid w:val="2EF05516"/>
    <w:rsid w:val="30640DE5"/>
    <w:rsid w:val="3199337B"/>
    <w:rsid w:val="320F30FF"/>
    <w:rsid w:val="35C264B8"/>
    <w:rsid w:val="38D330D8"/>
    <w:rsid w:val="3ADE5D64"/>
    <w:rsid w:val="3C245989"/>
    <w:rsid w:val="42293D69"/>
    <w:rsid w:val="4288450E"/>
    <w:rsid w:val="47022DDB"/>
    <w:rsid w:val="49BE1068"/>
    <w:rsid w:val="4D045ABE"/>
    <w:rsid w:val="51650E74"/>
    <w:rsid w:val="51A204DA"/>
    <w:rsid w:val="51E47B8F"/>
    <w:rsid w:val="53F33A4D"/>
    <w:rsid w:val="55816518"/>
    <w:rsid w:val="5DB516B6"/>
    <w:rsid w:val="60386A8A"/>
    <w:rsid w:val="60F7025D"/>
    <w:rsid w:val="62A74353"/>
    <w:rsid w:val="68757459"/>
    <w:rsid w:val="69AD6566"/>
    <w:rsid w:val="6C475418"/>
    <w:rsid w:val="6C586E75"/>
    <w:rsid w:val="704C7C5C"/>
    <w:rsid w:val="7376008C"/>
    <w:rsid w:val="76A519F0"/>
    <w:rsid w:val="773520C4"/>
    <w:rsid w:val="774D7EA5"/>
    <w:rsid w:val="7E162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line="276" w:lineRule="auto"/>
    </w:pPr>
    <w:rPr>
      <w:rFonts w:ascii="Times New Roman" w:hAnsi="Times New Roman" w:eastAsia="宋体" w:cs="Times New Roman"/>
      <w:szCs w:val="20"/>
    </w:rPr>
  </w:style>
  <w:style w:type="paragraph" w:styleId="4">
    <w:name w:val="Date"/>
    <w:basedOn w:val="1"/>
    <w:next w:val="1"/>
    <w:link w:val="21"/>
    <w:semiHidden/>
    <w:unhideWhenUsed/>
    <w:qFormat/>
    <w:uiPriority w:val="99"/>
    <w:pPr>
      <w:ind w:left="100" w:leftChars="2500"/>
    </w:pPr>
  </w:style>
  <w:style w:type="paragraph" w:styleId="5">
    <w:name w:val="Balloon Text"/>
    <w:basedOn w:val="1"/>
    <w:link w:val="19"/>
    <w:semiHidden/>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spacing w:after="200" w:line="180" w:lineRule="auto"/>
      <w:jc w:val="center"/>
    </w:pPr>
    <w:rPr>
      <w:rFonts w:ascii="Times New Roman" w:hAnsi="Times New Roman" w:eastAsia="方正小标宋_GBK" w:cs="Times New Roman"/>
      <w:sz w:val="30"/>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line="276" w:lineRule="auto"/>
      <w:jc w:val="center"/>
      <w:outlineLvl w:val="0"/>
    </w:pPr>
    <w:rPr>
      <w:rFonts w:ascii="黑体" w:hAnsi="黑体" w:eastAsia="黑体" w:cstheme="majorBidi"/>
      <w:bCs/>
      <w:sz w:val="32"/>
      <w:szCs w:val="32"/>
      <w:shd w:val="clear" w:color="auto" w:fill="FFFFFF"/>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22"/>
    <w:rPr>
      <w:b/>
      <w:bCs/>
    </w:rPr>
  </w:style>
  <w:style w:type="character" w:styleId="15">
    <w:name w:val="Emphasis"/>
    <w:basedOn w:val="13"/>
    <w:qFormat/>
    <w:uiPriority w:val="20"/>
    <w:rPr>
      <w:i/>
      <w:iCs/>
    </w:rPr>
  </w:style>
  <w:style w:type="character" w:customStyle="1" w:styleId="16">
    <w:name w:val="标题 2 字符"/>
    <w:basedOn w:val="13"/>
    <w:link w:val="2"/>
    <w:qFormat/>
    <w:uiPriority w:val="9"/>
    <w:rPr>
      <w:rFonts w:ascii="宋体" w:hAnsi="宋体" w:eastAsia="宋体" w:cs="宋体"/>
      <w:b/>
      <w:bCs/>
      <w:kern w:val="0"/>
      <w:sz w:val="36"/>
      <w:szCs w:val="36"/>
    </w:rPr>
  </w:style>
  <w:style w:type="character" w:customStyle="1" w:styleId="17">
    <w:name w:val="页眉 字符"/>
    <w:basedOn w:val="13"/>
    <w:link w:val="7"/>
    <w:qFormat/>
    <w:uiPriority w:val="99"/>
    <w:rPr>
      <w:sz w:val="18"/>
      <w:szCs w:val="18"/>
    </w:rPr>
  </w:style>
  <w:style w:type="character" w:customStyle="1" w:styleId="18">
    <w:name w:val="页脚 字符"/>
    <w:basedOn w:val="13"/>
    <w:link w:val="6"/>
    <w:qFormat/>
    <w:uiPriority w:val="99"/>
    <w:rPr>
      <w:sz w:val="18"/>
      <w:szCs w:val="18"/>
    </w:rPr>
  </w:style>
  <w:style w:type="character" w:customStyle="1" w:styleId="19">
    <w:name w:val="批注框文本 字符"/>
    <w:basedOn w:val="13"/>
    <w:link w:val="5"/>
    <w:semiHidden/>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日期 字符"/>
    <w:basedOn w:val="13"/>
    <w:link w:val="4"/>
    <w:semiHidden/>
    <w:qFormat/>
    <w:uiPriority w:val="99"/>
  </w:style>
  <w:style w:type="paragraph" w:customStyle="1" w:styleId="22">
    <w:name w:val="列出段落1"/>
    <w:basedOn w:val="1"/>
    <w:qFormat/>
    <w:uiPriority w:val="99"/>
    <w:pPr>
      <w:ind w:firstLine="420" w:firstLineChars="200"/>
    </w:pPr>
    <w:rPr>
      <w:rFonts w:ascii="Calibri" w:hAnsi="Calibri" w:eastAsia="宋体" w:cs="Times New Roman"/>
    </w:rPr>
  </w:style>
  <w:style w:type="paragraph" w:customStyle="1" w:styleId="23">
    <w:name w:val="p15"/>
    <w:basedOn w:val="1"/>
    <w:qFormat/>
    <w:uiPriority w:val="0"/>
    <w:pPr>
      <w:widowControl/>
    </w:pPr>
    <w:rPr>
      <w:kern w:val="0"/>
      <w:szCs w:val="21"/>
    </w:rPr>
  </w:style>
  <w:style w:type="paragraph" w:customStyle="1" w:styleId="24">
    <w:name w:val="p0"/>
    <w:basedOn w:val="1"/>
    <w:qFormat/>
    <w:uiPriority w:val="0"/>
    <w:pPr>
      <w:spacing w:after="200" w:line="180" w:lineRule="auto"/>
    </w:pPr>
    <w:rPr>
      <w:rFonts w:ascii="方正黑体_GBK" w:hAnsi="Times New Roman" w:eastAsia="方正黑体_GBK" w:cs="Times New Roman"/>
      <w:bCs/>
      <w:color w:val="000000" w:themeColor="text1"/>
      <w:spacing w:val="15"/>
      <w:kern w:val="0"/>
      <w:sz w:val="28"/>
      <w:szCs w:val="28"/>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422</Words>
  <Characters>2406</Characters>
  <Lines>20</Lines>
  <Paragraphs>5</Paragraphs>
  <TotalTime>0</TotalTime>
  <ScaleCrop>false</ScaleCrop>
  <LinksUpToDate>false</LinksUpToDate>
  <CharactersWithSpaces>2823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2022-06-08T02:45:00Z</dcterms:created>
  <dc:creator>熊凤</dc:creator>
  <cp:lastModifiedBy>彭文伶</cp:lastModifiedBy>
  <cp:lastPrinted>2023-06-29T06:36:00Z</cp:lastPrinted>
  <dcterms:modified xsi:type="dcterms:W3CDTF">2023-10-25T03:42:10Z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D9D518784A2E42BF8D62A0FE14B0720D_12</vt:lpwstr>
  </property>
</Properties>
</file>