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2" w:line="579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spacing w:line="579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728980</wp:posOffset>
                </wp:positionH>
                <wp:positionV relativeFrom="paragraph">
                  <wp:posOffset>109220</wp:posOffset>
                </wp:positionV>
                <wp:extent cx="5149215" cy="8858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9516" cy="88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sz w:val="72"/>
                                <w:szCs w:val="88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重庆化工职业学院文件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4pt;margin-top:8.6pt;height:69.75pt;width:405.45pt;mso-position-horizontal-relative:margin;z-index:-251656192;mso-width-relative:page;mso-height-relative:page;" filled="f" stroked="f" coordsize="21600,21600" o:gfxdata="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O&#10;mL8G2gAAAAoBAAAPAAAAAAAAAAEAIAAAACIAAABkcnMvZG93bnJldi54bWxQSwECFAAUAAAACACH&#10;TuJAROHhmSICAAApBAAADgAAAAAAAAABACAAAAApAQAAZHJzL2Uyb0RvYy54bWxQSwUGAAAAAAYA&#10;BgBZAQAAvQUAAAAA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>
                      <w:pPr>
                        <w:pStyle w:val="4"/>
                        <w:spacing w:beforeAutospacing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sz w:val="72"/>
                          <w:szCs w:val="88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重庆化工职业学院文件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tabs>
          <w:tab w:val="left" w:pos="360"/>
          <w:tab w:val="left" w:pos="8460"/>
          <w:tab w:val="left" w:pos="8640"/>
        </w:tabs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tabs>
          <w:tab w:val="left" w:pos="360"/>
          <w:tab w:val="left" w:pos="8460"/>
          <w:tab w:val="left" w:pos="8640"/>
        </w:tabs>
        <w:spacing w:line="8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360"/>
          <w:tab w:val="left" w:pos="8460"/>
          <w:tab w:val="left" w:pos="8640"/>
        </w:tabs>
        <w:spacing w:line="570" w:lineRule="exact"/>
        <w:ind w:firstLine="320" w:firstLineChars="1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渝化职院〔2023〕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tabs>
          <w:tab w:val="left" w:pos="206"/>
          <w:tab w:val="center" w:pos="4101"/>
        </w:tabs>
        <w:spacing w:line="358" w:lineRule="exact"/>
        <w:ind w:right="641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60960</wp:posOffset>
                </wp:positionV>
                <wp:extent cx="5579745" cy="9525"/>
                <wp:effectExtent l="0" t="19050" r="1905" b="2857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9745" cy="9525"/>
                        </a:xfrm>
                        <a:custGeom>
                          <a:avLst/>
                          <a:gdLst>
                            <a:gd name="T0" fmla="*/ 0 w 8925"/>
                            <a:gd name="T1" fmla="*/ 0 h 15"/>
                            <a:gd name="T2" fmla="*/ 8925 w 892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.65pt;margin-top:4.8pt;height:0.75pt;width:439.35pt;z-index:251661312;mso-width-relative:page;mso-height-relative:page;" filled="f" stroked="t" coordsize="8925,15" o:gfxdata="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WvX/U1AAAAAcBAAAPAAAAAAAA&#10;AAEAIAAAACIAAABkcnMvZG93bnJldi54bWxQSwECFAAUAAAACACHTuJAxagoY8ECAADVBQAADgAA&#10;AAAAAAABACAAAAAjAQAAZHJzL2Uyb0RvYy54bWxQSwUGAAAAAAYABgBZAQAAVgYAAAAA&#10;" path="m0,0l8925,15e">
                <v:path o:connectlocs="0,0;5579745,9525" o:connectangles="0,0"/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重庆化工职业学院</w: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标志性成果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管理办法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试行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各部门、各单位：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现将《重庆化工职业学院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标志性成果奖励办法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印发给你们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请认真组织学习，并遵照执行。</w:t>
      </w:r>
    </w:p>
    <w:p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ordWrap/>
        <w:spacing w:line="579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重庆化工职业学院       </w:t>
      </w:r>
    </w:p>
    <w:p>
      <w:pPr>
        <w:wordWrap/>
        <w:spacing w:line="579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      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（此件公开发布）    </w:t>
      </w:r>
    </w:p>
    <w:p>
      <w:pPr>
        <w:spacing w:before="232" w:line="579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</w:p>
    <w:p>
      <w:pPr>
        <w:spacing w:before="232" w:line="579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  <w:t>重庆化工职业学院标志性成果奖励办法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17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进一步加强内涵建设，加大高质量标志性成果奖励力度，促进教职工提升教学、科研和社会服务能力，提高教学科研产出效率，高效推进“双高”建设任务，推动学校高质量可持续发展，顺利实现“十四五”规划目标，特制订本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66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定义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。本办法所涉及的标志性成果，指的是以“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重庆化工职业学院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”(Chongqing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Chemical Industry Vocational College)为完成单位，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校教职工所取得的高层次、高影响力的教学科研成果(项目或荣誉)。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92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  <w:highlight w:val="none"/>
          <w14:textOutline w14:w="5974" w14:cap="sq" w14:cmpd="sng">
            <w14:solidFill>
              <w14:srgbClr w14:val="0C0C0C"/>
            </w14:solidFill>
            <w14:prstDash w14:val="solid"/>
            <w14:bevel/>
          </w14:textOutline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C0C0C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标志性成果的认定依据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。以国家级和市级“双高”建设标志性成果参考范围、《职业教育提质培优行动计划(2020—2023年)》设定的项目、《重庆市属公办高等职业院校绩效拔款评价指标体系》中的争先创优项目为主要认定依据。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72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标志性成果的奖励标准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重庆化工职业学院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所获得的标志性成果(项目或荣誉)的税前奖励为标准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学校须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作为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第一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完成单位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(或牵头单位)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，参与单位不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72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由于标志性成果的攻关和申报采取项目负责人制，因此个人在成果中所获得的奖励金额，由标志性成果的项目负责人与参与者共同商议，根据各自贡献大小决定个人的具体奖励金额。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65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第四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标志性成果的奖励原则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。标志性成果奖励采取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同一项目类别同一年度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就高原则予以奖励，对已有校内文件中的奖励额度高于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办法的奖励额度，以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文件规定的最高额度进行奖励；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不同项目类别的标志性成果采取累计制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上级相关部门对学校标志性成果的奖励与校内奖励不相关(若上级文件要求进行配套奖励，则在配套奖励与本办法奖励之间采取就高原则)。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65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第五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11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标志性成果的奖励程序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标志性成果实行项目管理制，各“双高”建设项目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成立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若干个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标志性成果项目团队，制定方案并督促实施；在每年12月30日前，由项目负责人组织申请，并提交成果佐证材料，佐证材料以获奖证书或官方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为准；学校双高建设办公室(以下简称双高办)组织相关部门和专家进行审查认定，确定成果类别与等级；经人事处复审后，由人事处和双高办共同将拟奖励情况提交校长办公会、党委会研究审定。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70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第六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标志性成果的类别和等级认定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标志性成果根据不同类别和等级进行分类分级奖励，成果的等级以颁发部门的印章为准，如有多个印章的，以第一个为准；国家部(委)及以上认定为国家级成果，省市及所辖厅局(委)认定为省部级成果，行业学会协会发文的成果不纳入标志性成果(教育部等国家部委下设学会协会等发文的成果属于省部级成果)。除教学成果奖、科技成果奖、教材奖之外的金奖和特等奖按一等奖、银奖按二等奖、铜奖按三等奖认定奖励等级，未区分等级的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等奖认定。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附件列表中所涉及的教学科研项目按重大150%、重点120%、一般100%的比例进行认定；由教育部发布相关立项申请通知，但最终由其他单位发文认定的，如果能提供相应佐证材料证明由教育部发布项目立项申请的，可以认定为国家级标志性成果；教育部等国家部委下设的各中心、中华职教社、中国职业技术教育学会等项目认定为省部级标志性成果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评估院、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教育科学研究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院等部门发布的相应项目，不认定为标志性成果。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人才引进项目中“软引”不计入标志性成果奖励；承接职业院校教师素质提高计划国家培训项目(简称“国培”)属于省部级标志性成果；入选国家级行指委、教指委委员算作国家级标志性成果，由国家级行指委、教指委牵头制定的教学标准、专业标准等作为国家级标志性成果，国家级行指委、教指委授予的其他荣誉(如教学成果奖、教学名师等)算作省级标志性成果；1+X证书标准由于是评价组织牵头制定，不作为标志性成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学生技能竞赛中，仅将全国职业院校技能竞赛、世界职业院校技能大赛、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中华人民共和国职业技能大赛、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世界技能大赛认定为国家级标志性成果，其余赛事(如：中华经典诵写讲，学宪法讲宪法等)可认定为任务完成数量，但不认定为标志性成果；入选国家级技能大赛裁判可认定为省部级标志性成果；在市级及以上大会上的经验交流分享发言可作为标志性成果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单个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成果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转化金额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到账经费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万奖励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成果转化按科研处制定的相关文件执行。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未列入附件列表的标志性成果，由成果获得者所在部门提出申请，经双高办、人事处会同专家“一事一议”评审认定后，提交学校校长办公会并审议通过，原则上按照同类国家级、省部级成果认定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对已列入附件列表的标志性成果，若上级主管部门未纳入学校年度绩效考核争先创优项目或未认定为“双高”标志性成果，则不再适用本办法；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对标志性成果等级界定有争议的，以双高办和人事处共同聘请的专家认定结果为依据，提交校长办公会进行研究决定。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70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第七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highlight w:val="none"/>
          <w:lang w:val="en-US"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标志性成果的奖励分配和管理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师资建设中的人才项目和荣誉奖项类，上级评审遴选的享受全部奖励，定额推送并定额授予的荣誉不予享受。项目申报类的标志性成果，申报成功后享受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0%的成果奖励，验收通过后再享受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0%的成果奖励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如未通过验收，学校将追回已发放的成果奖励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标志性成果奖励采取项目负责人制度，学校根据考核情况把奖励发放至标志性成果所在的项目团队。凡是非个人获得的标志性成果(发明专利及成果转化除外)，另外按所获标志性成果奖励标准的20%奖励成果所属二级学院或职能部门。获得标志性成果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二级学院或职能部门负责人分别在各自权限内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根据参与者在标志性成果中的贡献，公平、公正、合理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进行再分配，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然后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将分配方案交双高办和人事处备案。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学校加强标志性成果分配的管理力度，并畅通申诉渠道，成果参与者对分配方案不服的，可以向双高办提出申诉，双高</w:t>
      </w:r>
      <w:r>
        <w:rPr>
          <w:rFonts w:hint="default" w:ascii="Times New Roman" w:hAnsi="Times New Roman" w:eastAsia="方正仿宋_GBK" w:cs="Times New Roman"/>
          <w:color w:val="auto"/>
          <w:spacing w:val="-18"/>
          <w:sz w:val="32"/>
          <w:szCs w:val="32"/>
          <w:highlight w:val="none"/>
        </w:rPr>
        <w:t>办</w:t>
      </w:r>
      <w:r>
        <w:rPr>
          <w:rFonts w:hint="default" w:ascii="Times New Roman" w:hAnsi="Times New Roman" w:eastAsia="方正仿宋_GBK" w:cs="Times New Roman"/>
          <w:color w:val="auto"/>
          <w:spacing w:val="-9"/>
          <w:sz w:val="32"/>
          <w:szCs w:val="32"/>
          <w:highlight w:val="none"/>
        </w:rPr>
        <w:t>、人事处、纪检监察室三个部门积极合作，在5个工作日内</w:t>
      </w: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  <w:highlight w:val="none"/>
        </w:rPr>
        <w:t>与相关二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</w:rPr>
        <w:t>级部门和相关人员及时、公正、公平地进行调查和处</w:t>
      </w: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  <w:highlight w:val="none"/>
        </w:rPr>
        <w:t>理，不得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</w:rPr>
        <w:t>拖沓和以权谋私，并向分管领导汇报调查和处理结果。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653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本办法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起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试行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业务归属职能部门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负责解释。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316" w:firstLineChars="1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重庆化工职业学院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标</w:t>
      </w:r>
      <w:r>
        <w:rPr>
          <w:rFonts w:hint="default" w:ascii="Times New Roman" w:hAnsi="Times New Roman" w:eastAsia="方正仿宋_GBK" w:cs="Times New Roman"/>
          <w:color w:val="auto"/>
          <w:spacing w:val="-1"/>
          <w:sz w:val="32"/>
          <w:szCs w:val="32"/>
          <w:highlight w:val="none"/>
        </w:rPr>
        <w:t>志性成果奖励标准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/>
        <w:jc w:val="righ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sectPr>
          <w:footerReference r:id="rId5" w:type="default"/>
          <w:pgSz w:w="11906" w:h="16839"/>
          <w:pgMar w:top="1431" w:right="1323" w:bottom="1124" w:left="1461" w:header="0" w:footer="845" w:gutter="0"/>
          <w:pgNumType w:fmt="numberInDash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  <w:r>
        <w:rPr>
          <w:rFonts w:hint="default" w:ascii="Times New Roman" w:hAnsi="Times New Roman" w:eastAsia="方正小标宋_GBK" w:cs="Times New Roman"/>
          <w:color w:val="auto"/>
          <w:spacing w:val="-1"/>
          <w:sz w:val="32"/>
          <w:szCs w:val="32"/>
          <w:highlight w:val="none"/>
          <w:lang w:eastAsia="zh-CN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重庆化工职业学院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14:textOutline w14:w="5974" w14:cap="sq" w14:cmpd="sng">
            <w14:solidFill>
              <w14:srgbClr w14:val="000000"/>
            </w14:solidFill>
            <w14:prstDash w14:val="solid"/>
            <w14:bevel/>
          </w14:textOutline>
        </w:rPr>
        <w:t>标志性成果奖励标准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89"/>
        <w:jc w:val="right"/>
        <w:textAlignment w:val="baseline"/>
        <w:rPr>
          <w:rFonts w:hint="default" w:ascii="Times New Roman" w:hAnsi="Times New Roman" w:eastAsia="方正仿宋_GBK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17"/>
          <w:sz w:val="22"/>
          <w:szCs w:val="22"/>
          <w:highlight w:val="none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hint="default" w:ascii="Times New Roman" w:hAnsi="Times New Roman" w:eastAsia="方正仿宋_GBK" w:cs="Times New Roman"/>
          <w:color w:val="auto"/>
          <w:spacing w:val="-14"/>
          <w:sz w:val="22"/>
          <w:szCs w:val="22"/>
          <w:highlight w:val="none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位：万元</w:t>
      </w:r>
    </w:p>
    <w:tbl>
      <w:tblPr>
        <w:tblStyle w:val="7"/>
        <w:tblW w:w="143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675"/>
        <w:gridCol w:w="2"/>
        <w:gridCol w:w="1139"/>
        <w:gridCol w:w="2"/>
        <w:gridCol w:w="6329"/>
        <w:gridCol w:w="1"/>
        <w:gridCol w:w="1050"/>
        <w:gridCol w:w="840"/>
        <w:gridCol w:w="840"/>
        <w:gridCol w:w="840"/>
        <w:gridCol w:w="840"/>
        <w:gridCol w:w="1773"/>
        <w:gridCol w:w="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2" w:hRule="atLeast"/>
          <w:jc w:val="center"/>
        </w:trPr>
        <w:tc>
          <w:tcPr>
            <w:tcW w:w="679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4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63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05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等级和标准(万元)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67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特等奖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77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9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4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8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成果奖</w:t>
            </w:r>
          </w:p>
        </w:tc>
        <w:tc>
          <w:tcPr>
            <w:tcW w:w="63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 w:leftChars="0" w:right="13" w:rightChars="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教学成果奖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 w:leftChars="0" w:right="13" w:rightChars="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2)科技成果奖(自然科学奖、技术发明奖、科技进步奖)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8"/>
                <w:szCs w:val="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17" w:hRule="atLeast"/>
          <w:jc w:val="center"/>
        </w:trPr>
        <w:tc>
          <w:tcPr>
            <w:tcW w:w="679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2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41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6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学校发展</w:t>
            </w:r>
          </w:p>
        </w:tc>
        <w:tc>
          <w:tcPr>
            <w:tcW w:w="63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党建工作示范高校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04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2)教育系统关工委先进集体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04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3)“三全育人”综合改革试点高校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4)“三全育人”典型学校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5)教育部各类50强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6)五四红旗团委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7)职业教育信息化标杆校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8)产教融合试点单位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7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119" w:right="17" w:firstLine="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工作经验推广包括被党中央、国务院采纳或推广；有关部委(含国家有关工作领导小组及其办公室)，市委、市政府及其办公厅通过转发文件、刊印简报专报等方式予以肯定推广；在省部级及以上领导参加的或市教委主办的会议上作经验交流发言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17" w:hRule="atLeast"/>
          <w:jc w:val="center"/>
        </w:trPr>
        <w:tc>
          <w:tcPr>
            <w:tcW w:w="679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701" w:hRule="atLeast"/>
          <w:jc w:val="center"/>
        </w:trPr>
        <w:tc>
          <w:tcPr>
            <w:tcW w:w="679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9)依法治校示范校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10)国防教育特色学校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11)国家自然科学基金依托单位资质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12)网络学习空间应用优秀学校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13)示范性职教集团、职教联盟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14)高校“一站式”学生社区风采展示活动建设试点单位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6" w:right="168" w:firstLine="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15)教育信息化优秀学校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16)文明校园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市级及以上咨政报告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)市级及以上学校层面综合表彰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)承办市级及以上职业院校技能大赛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)承办市级及以上职教周活动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 w:right="141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21)承办市级及以上职业教育现场交流会议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22)工作经验推广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(见备注)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23)市级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以上各类示范学校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701" w:hRule="atLeast"/>
          <w:jc w:val="center"/>
        </w:trPr>
        <w:tc>
          <w:tcPr>
            <w:tcW w:w="679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1" w:hRule="atLeast"/>
          <w:jc w:val="center"/>
        </w:trPr>
        <w:tc>
          <w:tcPr>
            <w:tcW w:w="6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3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平台建设</w:t>
            </w:r>
          </w:p>
        </w:tc>
        <w:tc>
          <w:tcPr>
            <w:tcW w:w="632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1)高校思想政治工作创新发展中心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 w:right="105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课程思政教学研究示范中心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 w:right="105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3)高校“双带头人”教师党支部书记工作室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 w:right="105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应用技术推广中心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 w:right="105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5)工程(技术)研究中心(市科技局、市教委及以上)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6)市级及以上成果转化平台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7)教师“技艺技能传承创新”平台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8)“双师型”教师培养培训基地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77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1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41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9)示范性虚拟仿真实训基地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10)示范性职工培训基地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11)示范性教师企业实践流动站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3" w:right="105" w:firstLine="2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12)“双师型”名师工作室/技能大师工作室/辅导员名师工作室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13)高等学校教师发展示范中心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14)高水平专业化产教融合实训基地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15)新职业培训示范机构(中心)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16)社区教育示范基地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17)示范性继续教育基地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18)校企合作示范项目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19)设立境外办学机构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20)其他省部级、国家级培训基地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41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417" w:hRule="atLeast"/>
          <w:jc w:val="center"/>
        </w:trPr>
        <w:tc>
          <w:tcPr>
            <w:tcW w:w="6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2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4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团队建设</w:t>
            </w:r>
          </w:p>
        </w:tc>
        <w:tc>
          <w:tcPr>
            <w:tcW w:w="6329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 w:right="105" w:firstLine="2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1)党建工作标杆院系、样板支部培育创建单位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 w:right="105" w:firstLine="2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2)大中专学生志愿者暑期三下乡社会实践活动优秀单位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3)教师教学创新团队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4)思想政治课教学创新团队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5)五四红旗团支部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6)“三全育人”综合改革试点院系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 w:right="105" w:hanging="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7)高校黄大年式团队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 w:right="105" w:hanging="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8)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级团队(黄大年团队、重庆英才创新示范团队等)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7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417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 w:right="105" w:hanging="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7" w:right="105" w:hanging="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9)大中专学生志愿者暑期三下乡社会实践活动优秀团队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 w:right="141" w:firstLine="1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10)先进基层党组织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6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项目建设</w:t>
            </w:r>
          </w:p>
        </w:tc>
        <w:tc>
          <w:tcPr>
            <w:tcW w:w="6329" w:type="dxa"/>
            <w:vMerge w:val="restar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1)高校思想政治工作精品项目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0" w:right="50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)教学、科研项目(含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各部委及内设机构的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纵向课题、行政规划课题等项目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省市级项目不纳入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7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381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97" w:right="105" w:firstLine="1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)科技部线上出国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培训项目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97" w:right="105" w:firstLine="1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)职业院校素质提高计划国家级培训项目(国培)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)国家新职业培训示范项目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)重庆市智慧校园创新示范项目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)教育部供需对接就业育人项目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)现场工程师专项培养计划项目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现代产业学院项目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)现代学徒制试点项目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)教育部教育援外项目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)国际化特色项目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)重庆市政府外国留学生市长奖学金丝路项目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)中国高校人工智能人才国际培养计划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)教育部人文交流经世项目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)中德先进职业教育合作项目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4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)发明专利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8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)成果转化</w:t>
            </w:r>
          </w:p>
        </w:tc>
        <w:tc>
          <w:tcPr>
            <w:tcW w:w="10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单个成果转化到账经费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每10万奖励2万元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64" w:hRule="atLeast"/>
          <w:jc w:val="center"/>
        </w:trPr>
        <w:tc>
          <w:tcPr>
            <w:tcW w:w="6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师资建设</w:t>
            </w:r>
          </w:p>
        </w:tc>
        <w:tc>
          <w:tcPr>
            <w:tcW w:w="632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 w:right="105" w:firstLine="2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1)国家级拔尖人才(“万人名师”，国务院政府特殊津贴，全国技术能手等)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2)省部级拔尖人才(重庆英才计划、重庆市五一劳动奖章、巴渝工匠、重庆市最美教师等)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)重庆市巴渝学者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)教书育人楷模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04" w:firstLine="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)教学名师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64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)优秀教师/优秀教育工作者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)辅导员年度人物、优秀辅导员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)青年岗位能手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9)其他各级各类评审遴选的荣誉奖项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67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134" w:hRule="atLeast"/>
          <w:jc w:val="center"/>
        </w:trPr>
        <w:tc>
          <w:tcPr>
            <w:tcW w:w="677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141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标准建设</w:t>
            </w:r>
          </w:p>
        </w:tc>
        <w:tc>
          <w:tcPr>
            <w:tcW w:w="6329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1)职业标准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2)技能大赛标准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3)参与制定其他各类国家级标准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 w:right="104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4)向海外输出行业岗位职业标准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 w:right="104" w:hanging="7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5)开发并被国(境)外采用的专业教学标准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6)开发并被国(境)外采用的课程标准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54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atLeast"/>
          <w:jc w:val="center"/>
        </w:trPr>
        <w:tc>
          <w:tcPr>
            <w:tcW w:w="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3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专业课程</w:t>
            </w:r>
          </w:p>
        </w:tc>
        <w:tc>
          <w:tcPr>
            <w:tcW w:w="632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1)教材奖</w:t>
            </w:r>
          </w:p>
        </w:tc>
        <w:tc>
          <w:tcPr>
            <w:tcW w:w="105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04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2)规划教材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04" w:hanging="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3)精品课程(精品在线开放课程、一流课程等)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4)各类专业教学资源库</w:t>
            </w:r>
          </w:p>
        </w:tc>
        <w:tc>
          <w:tcPr>
            <w:tcW w:w="105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0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7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 w:right="104" w:firstLine="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5)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思想政治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课示范课堂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 w:right="104" w:firstLine="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6)课程思政示范课程、教学名师和团队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7)优质继续教育网络课程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8)省级及以上高水平专业群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1" w:right="13" w:firstLine="5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9)产教融合试点专业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1" w:right="13" w:firstLine="5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10)老年教育“智慧助老”、“能者为师”课程资源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2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77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80" w:hRule="atLeast"/>
          <w:jc w:val="center"/>
        </w:trPr>
        <w:tc>
          <w:tcPr>
            <w:tcW w:w="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2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师生竞赛</w:t>
            </w:r>
          </w:p>
        </w:tc>
        <w:tc>
          <w:tcPr>
            <w:tcW w:w="633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09" w:right="104" w:firstLine="2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1)教师教学能力大赛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09" w:right="104" w:firstLine="2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2)创新创业大赛(含“挑战杯”全国大学生课外学术科技作品竞赛、中国大学生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计划竞赛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大挑、小挑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、中国“互联网+”大学生创新创业大赛)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9" w:right="15" w:firstLine="1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4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0.2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20" w:right="104" w:hanging="6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3)师生职业技能大赛(含全国职业院校技能大赛、世界职业院校技能大赛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中华人民共和国职业技能大赛、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世界职业技能大赛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世界级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0.2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4)辅导员素质能力大赛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0.6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0.2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5)教师微课大赛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6)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  <w:lang w:val="en-US" w:eastAsia="zh-C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青少年科技创新市长奖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0.1</w:t>
            </w:r>
          </w:p>
        </w:tc>
        <w:tc>
          <w:tcPr>
            <w:tcW w:w="1773" w:type="dxa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644" w:hRule="atLeast"/>
          <w:jc w:val="center"/>
        </w:trPr>
        <w:tc>
          <w:tcPr>
            <w:tcW w:w="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典型案例</w:t>
            </w:r>
          </w:p>
        </w:tc>
        <w:tc>
          <w:tcPr>
            <w:tcW w:w="633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32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1)课程思政教育案例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09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2)德育特色案例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3)职业教育“课堂革命”典型案例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08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4)产教融合校企合作案例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5)职业教育质量年报典型案例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4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6)教育督导案例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6" w:right="104" w:hanging="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7)“三全育人”典型案例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6" w:right="104" w:hanging="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8)高校“一站式”学生社区风采展示活动建设优秀案例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6" w:right="104" w:hanging="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9)教育部教师数字化学习特色案例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113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10)教育行政主管部门要求报送的其他案例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国家级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644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633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省部级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0.1</w:t>
            </w:r>
          </w:p>
        </w:tc>
        <w:tc>
          <w:tcPr>
            <w:tcW w:w="177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5"/>
        <w:tblpPr w:leftFromText="180" w:rightFromText="180" w:vertAnchor="text" w:horzAnchor="page" w:tblpX="1989" w:tblpY="3"/>
        <w:tblOverlap w:val="never"/>
        <w:tblW w:w="1321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0"/>
        <w:gridCol w:w="67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重庆化工职业学院党政办公室</w:t>
            </w:r>
          </w:p>
        </w:tc>
        <w:tc>
          <w:tcPr>
            <w:tcW w:w="6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日印发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6" w:type="default"/>
      <w:pgSz w:w="16839" w:h="11906"/>
      <w:pgMar w:top="1012" w:right="1250" w:bottom="1129" w:left="1249" w:header="0" w:footer="84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VkNWVkNWRmOTMxODJiMzYyZjAyNTUwMzc5YjYzY2IifQ=="/>
  </w:docVars>
  <w:rsids>
    <w:rsidRoot w:val="00000000"/>
    <w:rsid w:val="023565EA"/>
    <w:rsid w:val="04DB10DC"/>
    <w:rsid w:val="074F739B"/>
    <w:rsid w:val="07926CE3"/>
    <w:rsid w:val="09FF3392"/>
    <w:rsid w:val="0B920249"/>
    <w:rsid w:val="0F1D3B4E"/>
    <w:rsid w:val="10611EED"/>
    <w:rsid w:val="14574AE4"/>
    <w:rsid w:val="170C032C"/>
    <w:rsid w:val="185248EA"/>
    <w:rsid w:val="193719EB"/>
    <w:rsid w:val="19996254"/>
    <w:rsid w:val="19E0072A"/>
    <w:rsid w:val="1BAA4DBB"/>
    <w:rsid w:val="1C416BBB"/>
    <w:rsid w:val="1EB4108A"/>
    <w:rsid w:val="1EB87CD4"/>
    <w:rsid w:val="1FB21CA6"/>
    <w:rsid w:val="20CA1A5A"/>
    <w:rsid w:val="21AC3CB7"/>
    <w:rsid w:val="277D3FBB"/>
    <w:rsid w:val="27EE1E60"/>
    <w:rsid w:val="28E129A6"/>
    <w:rsid w:val="290336EA"/>
    <w:rsid w:val="292731A6"/>
    <w:rsid w:val="2D766B80"/>
    <w:rsid w:val="300926E6"/>
    <w:rsid w:val="305A4537"/>
    <w:rsid w:val="324C0E2C"/>
    <w:rsid w:val="32FA3DAF"/>
    <w:rsid w:val="352B64A2"/>
    <w:rsid w:val="36C1516B"/>
    <w:rsid w:val="38D9778B"/>
    <w:rsid w:val="3AAC4472"/>
    <w:rsid w:val="3C5C7C61"/>
    <w:rsid w:val="3DD66AA8"/>
    <w:rsid w:val="3E027EEC"/>
    <w:rsid w:val="3E73290A"/>
    <w:rsid w:val="3F05331B"/>
    <w:rsid w:val="40512B35"/>
    <w:rsid w:val="44212A71"/>
    <w:rsid w:val="447C5C4D"/>
    <w:rsid w:val="452E2529"/>
    <w:rsid w:val="45B46040"/>
    <w:rsid w:val="47E85F28"/>
    <w:rsid w:val="486960D8"/>
    <w:rsid w:val="48AA1DEE"/>
    <w:rsid w:val="4A563B69"/>
    <w:rsid w:val="4B166E55"/>
    <w:rsid w:val="4F2C7AD9"/>
    <w:rsid w:val="4F667D21"/>
    <w:rsid w:val="4FC00081"/>
    <w:rsid w:val="501C1595"/>
    <w:rsid w:val="50DA7E1B"/>
    <w:rsid w:val="50F455CA"/>
    <w:rsid w:val="51E43809"/>
    <w:rsid w:val="535B1AD6"/>
    <w:rsid w:val="54C37637"/>
    <w:rsid w:val="588651F7"/>
    <w:rsid w:val="59655A11"/>
    <w:rsid w:val="596C0CB3"/>
    <w:rsid w:val="5A3C7D5B"/>
    <w:rsid w:val="5AAD78D9"/>
    <w:rsid w:val="5B8F116B"/>
    <w:rsid w:val="600F05EB"/>
    <w:rsid w:val="601A422B"/>
    <w:rsid w:val="60583DB0"/>
    <w:rsid w:val="62DE45B4"/>
    <w:rsid w:val="63ED0C43"/>
    <w:rsid w:val="64634A61"/>
    <w:rsid w:val="665F049D"/>
    <w:rsid w:val="67D4561E"/>
    <w:rsid w:val="6978678A"/>
    <w:rsid w:val="69DB153D"/>
    <w:rsid w:val="6A75729C"/>
    <w:rsid w:val="6D5C2995"/>
    <w:rsid w:val="6D680ED2"/>
    <w:rsid w:val="6D6B5DE7"/>
    <w:rsid w:val="6EA30987"/>
    <w:rsid w:val="6FF24B04"/>
    <w:rsid w:val="706A7177"/>
    <w:rsid w:val="72DC0911"/>
    <w:rsid w:val="7719299E"/>
    <w:rsid w:val="77FC2DAB"/>
    <w:rsid w:val="79BE6649"/>
    <w:rsid w:val="7DC93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 w:eastAsiaTheme="minorEastAsia"/>
      <w:snapToGrid/>
      <w:color w:val="auto"/>
      <w:sz w:val="24"/>
      <w:szCs w:val="24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4410</Words>
  <Characters>4703</Characters>
  <Paragraphs>510</Paragraphs>
  <TotalTime>14</TotalTime>
  <ScaleCrop>false</ScaleCrop>
  <LinksUpToDate>false</LinksUpToDate>
  <CharactersWithSpaces>4723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2023-02-15T10:57:00Z</dcterms:created>
  <dc:creator>姜运隆</dc:creator>
  <cp:lastModifiedBy>彭文伶</cp:lastModifiedBy>
  <cp:lastPrinted>2023-03-31T02:12:00Z</cp:lastPrinted>
  <dcterms:modified xsi:type="dcterms:W3CDTF">2023-04-13T02:27:12Z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2023-03-28T18:10:07Z</vt:filetime>
  </property>
  <property fmtid="{D5CDD505-2E9C-101B-9397-08002B2CF9AE}" pid="4" name="KSOProductBuildVer">
    <vt:lpwstr>2052-11.1.0.14036</vt:lpwstr>
  </property>
  <property fmtid="{D5CDD505-2E9C-101B-9397-08002B2CF9AE}" pid="5" name="ICV">
    <vt:lpwstr>8F5EC17D52834EFEA535BE843EEA0FE0_13</vt:lpwstr>
  </property>
</Properties>
</file>